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A4B0" w14:textId="187E5C04" w:rsidR="00093BD2" w:rsidRPr="00E03ABB" w:rsidRDefault="00A71CB3" w:rsidP="00E03ABB">
      <w:pPr>
        <w:pStyle w:val="Heading1"/>
      </w:pPr>
      <w:r w:rsidRPr="00E03ABB">
        <w:t>Communication and Language Audit – Pre-Reception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51"/>
        <w:gridCol w:w="1070"/>
        <w:gridCol w:w="3816"/>
      </w:tblGrid>
      <w:tr w:rsidR="0022180D" w:rsidRPr="004638D1" w14:paraId="112200D7" w14:textId="77777777" w:rsidTr="004646EB">
        <w:tc>
          <w:tcPr>
            <w:tcW w:w="9851" w:type="dxa"/>
          </w:tcPr>
          <w:p w14:paraId="5B15CE63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/>
                <w:color w:val="000000"/>
                <w:szCs w:val="26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>Environment</w:t>
            </w:r>
          </w:p>
        </w:tc>
        <w:tc>
          <w:tcPr>
            <w:tcW w:w="1070" w:type="dxa"/>
          </w:tcPr>
          <w:p w14:paraId="6E9B96E3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/>
                <w:color w:val="000000"/>
                <w:sz w:val="28"/>
                <w:szCs w:val="28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 xml:space="preserve">Yes/No </w:t>
            </w:r>
          </w:p>
        </w:tc>
        <w:tc>
          <w:tcPr>
            <w:tcW w:w="3816" w:type="dxa"/>
          </w:tcPr>
          <w:p w14:paraId="61F8640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/>
                <w:color w:val="000000"/>
                <w:sz w:val="28"/>
                <w:szCs w:val="28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22180D" w:rsidRPr="004638D1" w14:paraId="2D7D4B52" w14:textId="77777777" w:rsidTr="004646EB">
        <w:tc>
          <w:tcPr>
            <w:tcW w:w="9851" w:type="dxa"/>
          </w:tcPr>
          <w:p w14:paraId="6086F69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 children are reflected in the activities and resources e.g., there are books that represent their cultural heritage, family structure and interests</w:t>
            </w:r>
            <w:r>
              <w:rPr>
                <w:rFonts w:cs="Myriad Pro"/>
                <w:bCs/>
                <w:color w:val="000000"/>
                <w:szCs w:val="26"/>
              </w:rPr>
              <w:t>.</w:t>
            </w:r>
          </w:p>
        </w:tc>
        <w:tc>
          <w:tcPr>
            <w:tcW w:w="1070" w:type="dxa"/>
          </w:tcPr>
          <w:p w14:paraId="34AF11C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3B4A53C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2934C754" w14:textId="77777777" w:rsidTr="004646EB">
        <w:tc>
          <w:tcPr>
            <w:tcW w:w="9851" w:type="dxa"/>
          </w:tcPr>
          <w:p w14:paraId="3ABF4196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There are dual language books and resources that reflect the diversity of your community and others.</w:t>
            </w:r>
          </w:p>
        </w:tc>
        <w:tc>
          <w:tcPr>
            <w:tcW w:w="1070" w:type="dxa"/>
          </w:tcPr>
          <w:p w14:paraId="5643E531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05BC7081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06921087" w14:textId="77777777" w:rsidTr="004646EB">
        <w:tc>
          <w:tcPr>
            <w:tcW w:w="9851" w:type="dxa"/>
          </w:tcPr>
          <w:p w14:paraId="68CF9969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There are clear examples of where talk and listening are valued, for example children’s questions and comments are followed up on and lead to rich conversations.</w:t>
            </w:r>
            <w:r>
              <w:rPr>
                <w:rFonts w:cs="Myriad Pro"/>
                <w:bCs/>
                <w:color w:val="000000"/>
                <w:szCs w:val="26"/>
              </w:rPr>
              <w:t xml:space="preserve"> Resources, routines and activities are planned to reflect these conversations.</w:t>
            </w:r>
            <w:r w:rsidRPr="004638D1">
              <w:rPr>
                <w:rFonts w:cs="Myriad Pro"/>
                <w:bCs/>
                <w:color w:val="000000"/>
                <w:szCs w:val="26"/>
              </w:rPr>
              <w:t xml:space="preserve"> Practitioners take time to listen to the children. </w:t>
            </w:r>
          </w:p>
        </w:tc>
        <w:tc>
          <w:tcPr>
            <w:tcW w:w="1070" w:type="dxa"/>
          </w:tcPr>
          <w:p w14:paraId="7F3D3E5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6B8C75D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7EDAF2E7" w14:textId="77777777" w:rsidTr="004646EB">
        <w:tc>
          <w:tcPr>
            <w:tcW w:w="9851" w:type="dxa"/>
          </w:tcPr>
          <w:p w14:paraId="2C90C6E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 xml:space="preserve">Inviting, cosy nooks where children can retreat to, share stories or just observe what is happening around them are present. </w:t>
            </w:r>
            <w:r>
              <w:rPr>
                <w:rFonts w:cs="Myriad Pro"/>
                <w:bCs/>
                <w:color w:val="000000"/>
                <w:szCs w:val="26"/>
              </w:rPr>
              <w:t>More than a book corner.</w:t>
            </w:r>
          </w:p>
        </w:tc>
        <w:tc>
          <w:tcPr>
            <w:tcW w:w="1070" w:type="dxa"/>
          </w:tcPr>
          <w:p w14:paraId="492BB781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2D2BA80E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013CEA99" w14:textId="77777777" w:rsidTr="004646EB">
        <w:tc>
          <w:tcPr>
            <w:tcW w:w="9851" w:type="dxa"/>
          </w:tcPr>
          <w:p w14:paraId="30A5959C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Children are given time to talk in a variety of different contexts, from large to small groups, on an individual basis and at outdoor activities.</w:t>
            </w:r>
          </w:p>
        </w:tc>
        <w:tc>
          <w:tcPr>
            <w:tcW w:w="1070" w:type="dxa"/>
          </w:tcPr>
          <w:p w14:paraId="5B6947B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70F1A467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3A25CBA7" w14:textId="77777777" w:rsidTr="004646EB">
        <w:tc>
          <w:tcPr>
            <w:tcW w:w="9851" w:type="dxa"/>
          </w:tcPr>
          <w:p w14:paraId="1900A7B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There are regular real hands-on experiences which enable children to engage using their senses, using touch, taste, hearing, sight and smell.</w:t>
            </w:r>
            <w:r>
              <w:rPr>
                <w:rFonts w:cs="Myriad Pro"/>
                <w:bCs/>
                <w:color w:val="000000"/>
                <w:szCs w:val="26"/>
              </w:rPr>
              <w:t xml:space="preserve"> These includes visitors to the setting and visits away from the setting.</w:t>
            </w:r>
          </w:p>
        </w:tc>
        <w:tc>
          <w:tcPr>
            <w:tcW w:w="1070" w:type="dxa"/>
          </w:tcPr>
          <w:p w14:paraId="492E801B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17F5576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223C99B2" w14:textId="77777777" w:rsidTr="004646EB">
        <w:tc>
          <w:tcPr>
            <w:tcW w:w="9851" w:type="dxa"/>
          </w:tcPr>
          <w:p w14:paraId="57028DF9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bookmarkStart w:id="0" w:name="_Hlk92889247"/>
            <w:bookmarkStart w:id="1" w:name="_Hlk92889266"/>
            <w:r w:rsidRPr="004638D1">
              <w:rPr>
                <w:rFonts w:cs="Myriad Pro"/>
                <w:bCs/>
                <w:color w:val="000000"/>
                <w:szCs w:val="26"/>
              </w:rPr>
              <w:t>Books are inviting, developmentally appropriate and easily accessible.</w:t>
            </w:r>
          </w:p>
        </w:tc>
        <w:tc>
          <w:tcPr>
            <w:tcW w:w="1070" w:type="dxa"/>
          </w:tcPr>
          <w:p w14:paraId="180D6E2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5647F987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430C5110" w14:textId="77777777" w:rsidTr="004646EB">
        <w:tc>
          <w:tcPr>
            <w:tcW w:w="9851" w:type="dxa"/>
          </w:tcPr>
          <w:p w14:paraId="09E0F97D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Puppets, peg dolls, loose parts and small world props are set up to retell stories and are available.</w:t>
            </w:r>
          </w:p>
        </w:tc>
        <w:tc>
          <w:tcPr>
            <w:tcW w:w="1070" w:type="dxa"/>
          </w:tcPr>
          <w:p w14:paraId="16CFF04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424097CC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6C9792E6" w14:textId="77777777" w:rsidTr="004646EB">
        <w:tc>
          <w:tcPr>
            <w:tcW w:w="9851" w:type="dxa"/>
          </w:tcPr>
          <w:p w14:paraId="4A8EB87D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Background noise is limited during group activities so children can focus on sounds and words.</w:t>
            </w:r>
          </w:p>
        </w:tc>
        <w:tc>
          <w:tcPr>
            <w:tcW w:w="1070" w:type="dxa"/>
          </w:tcPr>
          <w:p w14:paraId="60487FE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585FC1B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535F03D8" w14:textId="77777777" w:rsidTr="004646EB">
        <w:tc>
          <w:tcPr>
            <w:tcW w:w="9851" w:type="dxa"/>
          </w:tcPr>
          <w:p w14:paraId="0DEB605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lastRenderedPageBreak/>
              <w:t>There are regular, planned story times, allowing children to focus, understand the meaning of words and link them to the context of the book.</w:t>
            </w:r>
            <w:r>
              <w:rPr>
                <w:rFonts w:cs="Myriad Pro"/>
                <w:bCs/>
                <w:color w:val="000000"/>
                <w:szCs w:val="26"/>
              </w:rPr>
              <w:t xml:space="preserve"> All books are chosen with a purpose in mind. For example, vocabulary, rhyme, alliteration.</w:t>
            </w:r>
          </w:p>
        </w:tc>
        <w:tc>
          <w:tcPr>
            <w:tcW w:w="1070" w:type="dxa"/>
          </w:tcPr>
          <w:p w14:paraId="19DBBAE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1D9E0CD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bookmarkEnd w:id="0"/>
      <w:tr w:rsidR="0022180D" w:rsidRPr="004638D1" w14:paraId="54150CA4" w14:textId="77777777" w:rsidTr="004646EB">
        <w:tc>
          <w:tcPr>
            <w:tcW w:w="9851" w:type="dxa"/>
          </w:tcPr>
          <w:p w14:paraId="7F2365B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/>
                <w:color w:val="000000"/>
                <w:sz w:val="28"/>
                <w:szCs w:val="28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>The Role of the Adult</w:t>
            </w:r>
          </w:p>
        </w:tc>
        <w:tc>
          <w:tcPr>
            <w:tcW w:w="1070" w:type="dxa"/>
          </w:tcPr>
          <w:p w14:paraId="0C01D4B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Cs/>
                <w:color w:val="000000"/>
                <w:sz w:val="28"/>
                <w:szCs w:val="28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>Yes/No</w:t>
            </w:r>
          </w:p>
        </w:tc>
        <w:tc>
          <w:tcPr>
            <w:tcW w:w="3816" w:type="dxa"/>
          </w:tcPr>
          <w:p w14:paraId="3D49D249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/>
                <w:color w:val="000000"/>
                <w:sz w:val="28"/>
                <w:szCs w:val="28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22180D" w:rsidRPr="004638D1" w14:paraId="6F844ACC" w14:textId="77777777" w:rsidTr="004646EB">
        <w:tc>
          <w:tcPr>
            <w:tcW w:w="9851" w:type="dxa"/>
          </w:tcPr>
          <w:p w14:paraId="4692CC6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 adults’ model positive interactions with children and colleagues, where all feel valued.</w:t>
            </w:r>
          </w:p>
        </w:tc>
        <w:tc>
          <w:tcPr>
            <w:tcW w:w="1070" w:type="dxa"/>
          </w:tcPr>
          <w:p w14:paraId="08B8DA6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369E3C83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715C26FF" w14:textId="77777777" w:rsidTr="004646EB">
        <w:tc>
          <w:tcPr>
            <w:tcW w:w="9851" w:type="dxa"/>
          </w:tcPr>
          <w:p w14:paraId="413672D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 adults understand the stages and milestones associated with language development and how best to support language during these stages.</w:t>
            </w:r>
          </w:p>
        </w:tc>
        <w:tc>
          <w:tcPr>
            <w:tcW w:w="1070" w:type="dxa"/>
          </w:tcPr>
          <w:p w14:paraId="60DF756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77A789BE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08BD3FB4" w14:textId="77777777" w:rsidTr="004646EB">
        <w:tc>
          <w:tcPr>
            <w:tcW w:w="9851" w:type="dxa"/>
          </w:tcPr>
          <w:p w14:paraId="7750F0E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 xml:space="preserve">The adults recognise when a child needs additional support and what support is appropriate. </w:t>
            </w:r>
          </w:p>
        </w:tc>
        <w:tc>
          <w:tcPr>
            <w:tcW w:w="1070" w:type="dxa"/>
          </w:tcPr>
          <w:p w14:paraId="7736E04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0F45EDB7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bookmarkEnd w:id="1"/>
      <w:tr w:rsidR="0022180D" w:rsidRPr="004638D1" w14:paraId="4A661914" w14:textId="77777777" w:rsidTr="004646EB">
        <w:tc>
          <w:tcPr>
            <w:tcW w:w="9851" w:type="dxa"/>
          </w:tcPr>
          <w:p w14:paraId="5F419509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 adults know the children well, for example their interests, likes and dislikes and family background.</w:t>
            </w:r>
          </w:p>
        </w:tc>
        <w:tc>
          <w:tcPr>
            <w:tcW w:w="1070" w:type="dxa"/>
          </w:tcPr>
          <w:p w14:paraId="71FF606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6D21F2A2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2E7E1741" w14:textId="77777777" w:rsidTr="004646EB">
        <w:tc>
          <w:tcPr>
            <w:tcW w:w="9851" w:type="dxa"/>
          </w:tcPr>
          <w:p w14:paraId="49DCE137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 xml:space="preserve">Positive relationships </w:t>
            </w:r>
            <w:r>
              <w:rPr>
                <w:rFonts w:cs="Myriad Pro"/>
                <w:bCs/>
                <w:color w:val="000000"/>
                <w:szCs w:val="26"/>
              </w:rPr>
              <w:t>are</w:t>
            </w:r>
            <w:r w:rsidRPr="004638D1">
              <w:rPr>
                <w:rFonts w:cs="Myriad Pro"/>
                <w:bCs/>
                <w:color w:val="000000"/>
                <w:szCs w:val="26"/>
              </w:rPr>
              <w:t xml:space="preserve"> formed with the child for example the child feels happy and safe in the setting and will go to an adult to ask for help if needed.</w:t>
            </w:r>
          </w:p>
        </w:tc>
        <w:tc>
          <w:tcPr>
            <w:tcW w:w="1070" w:type="dxa"/>
          </w:tcPr>
          <w:p w14:paraId="39B8E9B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05EB49E2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0881DBDA" w14:textId="77777777" w:rsidTr="004646EB">
        <w:tc>
          <w:tcPr>
            <w:tcW w:w="9851" w:type="dxa"/>
          </w:tcPr>
          <w:p w14:paraId="364EDC46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 xml:space="preserve">Positive relationships </w:t>
            </w:r>
            <w:r>
              <w:rPr>
                <w:rFonts w:cs="Myriad Pro"/>
                <w:bCs/>
                <w:color w:val="000000"/>
                <w:szCs w:val="26"/>
              </w:rPr>
              <w:t>are</w:t>
            </w:r>
            <w:r w:rsidRPr="004638D1">
              <w:rPr>
                <w:rFonts w:cs="Myriad Pro"/>
                <w:bCs/>
                <w:color w:val="000000"/>
                <w:szCs w:val="26"/>
              </w:rPr>
              <w:t xml:space="preserve"> formed with the family for example during transition into the setting, offering support where needed and by having open two-way communications about the child.</w:t>
            </w:r>
          </w:p>
        </w:tc>
        <w:tc>
          <w:tcPr>
            <w:tcW w:w="1070" w:type="dxa"/>
          </w:tcPr>
          <w:p w14:paraId="0A654419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69F21E5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2F21AB6D" w14:textId="77777777" w:rsidTr="004646EB">
        <w:tc>
          <w:tcPr>
            <w:tcW w:w="9851" w:type="dxa"/>
          </w:tcPr>
          <w:p w14:paraId="78DBE62D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There is an understanding that children will join settings with different experiences, from varied home learning environments and cultures.</w:t>
            </w:r>
          </w:p>
        </w:tc>
        <w:tc>
          <w:tcPr>
            <w:tcW w:w="1070" w:type="dxa"/>
          </w:tcPr>
          <w:p w14:paraId="271A3E17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34CCC801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42FFBA05" w14:textId="77777777" w:rsidTr="004646EB">
        <w:tc>
          <w:tcPr>
            <w:tcW w:w="9851" w:type="dxa"/>
          </w:tcPr>
          <w:p w14:paraId="39BA3F01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 xml:space="preserve">Practitioners adapt their language to meet the </w:t>
            </w:r>
            <w:r>
              <w:rPr>
                <w:rFonts w:cs="Myriad Pro"/>
                <w:bCs/>
                <w:color w:val="000000"/>
                <w:szCs w:val="26"/>
              </w:rPr>
              <w:t xml:space="preserve">individual </w:t>
            </w:r>
            <w:r w:rsidRPr="004638D1">
              <w:rPr>
                <w:rFonts w:cs="Myriad Pro"/>
                <w:bCs/>
                <w:color w:val="000000"/>
                <w:szCs w:val="26"/>
              </w:rPr>
              <w:t>needs of the child.</w:t>
            </w:r>
          </w:p>
        </w:tc>
        <w:tc>
          <w:tcPr>
            <w:tcW w:w="1070" w:type="dxa"/>
          </w:tcPr>
          <w:p w14:paraId="390FCB0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2DEB9D56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55D0066F" w14:textId="77777777" w:rsidTr="004646EB">
        <w:tc>
          <w:tcPr>
            <w:tcW w:w="9851" w:type="dxa"/>
          </w:tcPr>
          <w:p w14:paraId="67901A1F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Practitioners get down to a child’s level</w:t>
            </w:r>
            <w:r>
              <w:rPr>
                <w:rFonts w:cs="Myriad Pro"/>
                <w:bCs/>
                <w:color w:val="000000"/>
                <w:szCs w:val="26"/>
              </w:rPr>
              <w:t xml:space="preserve"> when talking to children. Inside and outside.</w:t>
            </w:r>
          </w:p>
        </w:tc>
        <w:tc>
          <w:tcPr>
            <w:tcW w:w="1070" w:type="dxa"/>
          </w:tcPr>
          <w:p w14:paraId="1E46FBF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243D115E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75E88A2E" w14:textId="77777777" w:rsidTr="004646EB">
        <w:tc>
          <w:tcPr>
            <w:tcW w:w="9851" w:type="dxa"/>
          </w:tcPr>
          <w:p w14:paraId="2893AE83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Adults build on and expand vocabulary, repeating back sentences, adding additional words or modelling correct pronunciation, as appropriate to the needs of the child.</w:t>
            </w:r>
          </w:p>
        </w:tc>
        <w:tc>
          <w:tcPr>
            <w:tcW w:w="1070" w:type="dxa"/>
          </w:tcPr>
          <w:p w14:paraId="449A976E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79B02781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04FF3090" w14:textId="77777777" w:rsidTr="004646EB">
        <w:tc>
          <w:tcPr>
            <w:tcW w:w="9851" w:type="dxa"/>
          </w:tcPr>
          <w:p w14:paraId="7509EC89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lastRenderedPageBreak/>
              <w:t>Adults model language associated with feelings and actions, allowing children to hear them in the correct context.</w:t>
            </w:r>
          </w:p>
        </w:tc>
        <w:tc>
          <w:tcPr>
            <w:tcW w:w="1070" w:type="dxa"/>
          </w:tcPr>
          <w:p w14:paraId="18C43E4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3B96030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08D232BC" w14:textId="77777777" w:rsidTr="004646EB">
        <w:tc>
          <w:tcPr>
            <w:tcW w:w="9851" w:type="dxa"/>
          </w:tcPr>
          <w:p w14:paraId="4CF6B1F2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Consideration is given to those who speak English as a second language.</w:t>
            </w:r>
          </w:p>
        </w:tc>
        <w:tc>
          <w:tcPr>
            <w:tcW w:w="1070" w:type="dxa"/>
          </w:tcPr>
          <w:p w14:paraId="2F155C2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617CB90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2D1DFDFB" w14:textId="77777777" w:rsidTr="004646EB">
        <w:tc>
          <w:tcPr>
            <w:tcW w:w="9851" w:type="dxa"/>
          </w:tcPr>
          <w:p w14:paraId="02F101D6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Parents of children with English as a second language are communicated with to gain a sense of the child’s development and interests.</w:t>
            </w:r>
          </w:p>
        </w:tc>
        <w:tc>
          <w:tcPr>
            <w:tcW w:w="1070" w:type="dxa"/>
          </w:tcPr>
          <w:p w14:paraId="72E0104F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18DE8EEE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7121A0F3" w14:textId="77777777" w:rsidTr="004646EB">
        <w:tc>
          <w:tcPr>
            <w:tcW w:w="9851" w:type="dxa"/>
          </w:tcPr>
          <w:p w14:paraId="72A53E87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Parents are invited to read books in the child’s home language either virtually or in person.</w:t>
            </w:r>
          </w:p>
        </w:tc>
        <w:tc>
          <w:tcPr>
            <w:tcW w:w="1070" w:type="dxa"/>
          </w:tcPr>
          <w:p w14:paraId="485CB1A9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27187A89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6970A411" w14:textId="77777777" w:rsidTr="004646EB">
        <w:tc>
          <w:tcPr>
            <w:tcW w:w="9851" w:type="dxa"/>
          </w:tcPr>
          <w:p w14:paraId="3228798C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Children are motivated to speak through inspiring experiences.</w:t>
            </w:r>
          </w:p>
        </w:tc>
        <w:tc>
          <w:tcPr>
            <w:tcW w:w="1070" w:type="dxa"/>
          </w:tcPr>
          <w:p w14:paraId="55CBBFA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04847B08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21BD9608" w14:textId="77777777" w:rsidTr="004646EB">
        <w:tc>
          <w:tcPr>
            <w:tcW w:w="9851" w:type="dxa"/>
          </w:tcPr>
          <w:p w14:paraId="215308ED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 children are safe, happy and inspired to talk, listen, play and learn</w:t>
            </w:r>
            <w:r>
              <w:rPr>
                <w:rFonts w:cs="Myriad Pro"/>
                <w:bCs/>
                <w:color w:val="000000"/>
                <w:szCs w:val="26"/>
              </w:rPr>
              <w:t>.</w:t>
            </w:r>
          </w:p>
        </w:tc>
        <w:tc>
          <w:tcPr>
            <w:tcW w:w="1070" w:type="dxa"/>
          </w:tcPr>
          <w:p w14:paraId="098A436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18481E42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301562E6" w14:textId="77777777" w:rsidTr="004646EB">
        <w:tc>
          <w:tcPr>
            <w:tcW w:w="9851" w:type="dxa"/>
          </w:tcPr>
          <w:p w14:paraId="01317266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/>
                <w:color w:val="000000"/>
                <w:sz w:val="28"/>
                <w:szCs w:val="28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>Leadership</w:t>
            </w:r>
          </w:p>
        </w:tc>
        <w:tc>
          <w:tcPr>
            <w:tcW w:w="1070" w:type="dxa"/>
          </w:tcPr>
          <w:p w14:paraId="60FE5D16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Cs/>
                <w:color w:val="000000"/>
                <w:sz w:val="28"/>
                <w:szCs w:val="28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 xml:space="preserve">Yes/No </w:t>
            </w:r>
          </w:p>
        </w:tc>
        <w:tc>
          <w:tcPr>
            <w:tcW w:w="3816" w:type="dxa"/>
          </w:tcPr>
          <w:p w14:paraId="19461161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after="60"/>
              <w:rPr>
                <w:rFonts w:cs="Myriad Pro"/>
                <w:bCs/>
                <w:color w:val="000000"/>
                <w:sz w:val="28"/>
                <w:szCs w:val="28"/>
              </w:rPr>
            </w:pPr>
            <w:r w:rsidRPr="004638D1">
              <w:rPr>
                <w:rFonts w:cs="Myriad Pro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22180D" w:rsidRPr="004638D1" w14:paraId="5E8BAF85" w14:textId="77777777" w:rsidTr="004646EB">
        <w:tc>
          <w:tcPr>
            <w:tcW w:w="9851" w:type="dxa"/>
          </w:tcPr>
          <w:p w14:paraId="3F7FCEEC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Leaders know staff well, identifying their strengths and areas for development.</w:t>
            </w:r>
          </w:p>
        </w:tc>
        <w:tc>
          <w:tcPr>
            <w:tcW w:w="1070" w:type="dxa"/>
          </w:tcPr>
          <w:p w14:paraId="25320482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0AE3C1B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7D4DF8E9" w14:textId="77777777" w:rsidTr="004646EB">
        <w:tc>
          <w:tcPr>
            <w:tcW w:w="9851" w:type="dxa"/>
          </w:tcPr>
          <w:p w14:paraId="2FD96EF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Strategies are implemented to support training and development.</w:t>
            </w:r>
          </w:p>
        </w:tc>
        <w:tc>
          <w:tcPr>
            <w:tcW w:w="1070" w:type="dxa"/>
          </w:tcPr>
          <w:p w14:paraId="4381BD10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633EDA6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2C56BD47" w14:textId="77777777" w:rsidTr="004646EB">
        <w:tc>
          <w:tcPr>
            <w:tcW w:w="9851" w:type="dxa"/>
          </w:tcPr>
          <w:p w14:paraId="3352EBC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Practise and provision are regularly discussed, allowing development of individuals and the team.</w:t>
            </w:r>
          </w:p>
        </w:tc>
        <w:tc>
          <w:tcPr>
            <w:tcW w:w="1070" w:type="dxa"/>
          </w:tcPr>
          <w:p w14:paraId="0F2BB86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1B4E77CD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0759140D" w14:textId="77777777" w:rsidTr="004646EB">
        <w:tc>
          <w:tcPr>
            <w:tcW w:w="9851" w:type="dxa"/>
          </w:tcPr>
          <w:p w14:paraId="16A8236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 effectiveness of the environment in promoting Characteristics of Effective Learning skills is regularly evaluated</w:t>
            </w:r>
            <w:r>
              <w:rPr>
                <w:rFonts w:cs="Myriad Pro"/>
                <w:bCs/>
                <w:color w:val="000000"/>
                <w:szCs w:val="26"/>
              </w:rPr>
              <w:t>. This informs planning.</w:t>
            </w:r>
          </w:p>
        </w:tc>
        <w:tc>
          <w:tcPr>
            <w:tcW w:w="1070" w:type="dxa"/>
          </w:tcPr>
          <w:p w14:paraId="4B634C16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3B6AB2C5" w14:textId="77C9DE6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41082ADF" w14:textId="77777777" w:rsidTr="004646EB">
        <w:tc>
          <w:tcPr>
            <w:tcW w:w="9851" w:type="dxa"/>
          </w:tcPr>
          <w:p w14:paraId="7F62DA16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Leaders understand the need for staff to know children well and to form strong attachments</w:t>
            </w:r>
          </w:p>
        </w:tc>
        <w:tc>
          <w:tcPr>
            <w:tcW w:w="1070" w:type="dxa"/>
          </w:tcPr>
          <w:p w14:paraId="0E557402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7F50277F" w14:textId="4F187278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5CAD892D" w14:textId="77777777" w:rsidTr="004646EB">
        <w:tc>
          <w:tcPr>
            <w:tcW w:w="9851" w:type="dxa"/>
          </w:tcPr>
          <w:p w14:paraId="7161910A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The role that the family plays in Communication and Language development prioritised and supported for example information is shared as to how the family can best support at home.</w:t>
            </w:r>
          </w:p>
        </w:tc>
        <w:tc>
          <w:tcPr>
            <w:tcW w:w="1070" w:type="dxa"/>
          </w:tcPr>
          <w:p w14:paraId="47061947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5004A151" w14:textId="65AA695F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  <w:tr w:rsidR="0022180D" w:rsidRPr="004638D1" w14:paraId="07ADE6B9" w14:textId="77777777" w:rsidTr="004646EB">
        <w:tc>
          <w:tcPr>
            <w:tcW w:w="9851" w:type="dxa"/>
          </w:tcPr>
          <w:p w14:paraId="08745AA5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  <w:r w:rsidRPr="004638D1">
              <w:rPr>
                <w:rFonts w:cs="Myriad Pro"/>
                <w:bCs/>
                <w:color w:val="000000"/>
                <w:szCs w:val="26"/>
              </w:rPr>
              <w:t>Ideas, progress, interests and Characteristics of Effective Learning are shared with and from home</w:t>
            </w:r>
          </w:p>
        </w:tc>
        <w:tc>
          <w:tcPr>
            <w:tcW w:w="1070" w:type="dxa"/>
          </w:tcPr>
          <w:p w14:paraId="72C61081" w14:textId="77777777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  <w:tc>
          <w:tcPr>
            <w:tcW w:w="3816" w:type="dxa"/>
          </w:tcPr>
          <w:p w14:paraId="33741748" w14:textId="20D13B74" w:rsidR="0022180D" w:rsidRPr="004638D1" w:rsidRDefault="0022180D" w:rsidP="003D141A">
            <w:pPr>
              <w:autoSpaceDE w:val="0"/>
              <w:autoSpaceDN w:val="0"/>
              <w:adjustRightInd w:val="0"/>
              <w:spacing w:before="240" w:after="60"/>
              <w:rPr>
                <w:rFonts w:cs="Myriad Pro"/>
                <w:bCs/>
                <w:color w:val="000000"/>
                <w:szCs w:val="26"/>
              </w:rPr>
            </w:pPr>
          </w:p>
        </w:tc>
      </w:tr>
    </w:tbl>
    <w:p w14:paraId="5AE95E23" w14:textId="5DBDE862" w:rsidR="00093BD2" w:rsidRPr="001047C6" w:rsidRDefault="00093BD2" w:rsidP="00093BD2"/>
    <w:p w14:paraId="5D5A207C" w14:textId="3C80562F" w:rsidR="007E3EF4" w:rsidRPr="00D26C7F" w:rsidRDefault="00B93F65">
      <w:pPr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862A8B" wp14:editId="68022542">
                <wp:simplePos x="0" y="0"/>
                <wp:positionH relativeFrom="column">
                  <wp:posOffset>-572770</wp:posOffset>
                </wp:positionH>
                <wp:positionV relativeFrom="paragraph">
                  <wp:posOffset>1397000</wp:posOffset>
                </wp:positionV>
                <wp:extent cx="10144125" cy="85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125" cy="85725"/>
                        </a:xfrm>
                        <a:prstGeom prst="rect">
                          <a:avLst/>
                        </a:prstGeom>
                        <a:solidFill>
                          <a:srgbClr val="2C2D84"/>
                        </a:solidFill>
                        <a:ln>
                          <a:solidFill>
                            <a:srgbClr val="2C2D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92BD0" id="Rectangle 1" o:spid="_x0000_s1026" style="position:absolute;margin-left:-45.1pt;margin-top:110pt;width:798.75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r7fAIAAIgFAAAOAAAAZHJzL2Uyb0RvYy54bWysVE1v2zAMvQ/YfxB0X20H6dYFdYogRYcB&#10;RVesHXpWZCk2IIsapcTJfv0o+SNdV+xQLAeFEslH8pnk5dWhNWyv0DdgS16c5ZwpK6Fq7LbkPx5v&#10;Plxw5oOwlTBgVcmPyvOr5ft3l51bqBnUYCqFjECsX3Su5HUIbpFlXtaqFf4MnLKk1ICtCHTFbVah&#10;6Ai9Ndkszz9mHWDlEKTynl6veyVfJnytlQzftPYqMFNyyi2kE9O5iWe2vBSLLQpXN3JIQ7whi1Y0&#10;loJOUNciCLbD5i+otpEIHnQ4k9BmoHUjVaqBqinyF9U81MKpVAuR491Ek/9/sPJu/+DukWjonF94&#10;EmMVB41t/Kf82CGRdZzIUofAJD0WeTGfF7NzziQpL84/kUgw2cnboQ9fFLQsCiVH+hiJI7G/9aE3&#10;HU1iMA+mqW4aY9IFt5u1QbYX9OFm69n1xXxA/8PM2Ld5UpbRNTsVnaRwNCoCGvtdadZUVOYspZz6&#10;UU0JCSmVDUWvqkWl+jzPc/qNacYOjh6JkgQYkTXVN2EPAKNlDzJi9wQN9tFVpXaenPN/JdY7Tx4p&#10;MtgwObeNBXwNwFBVQ+TefiSppyaytIHqeI8MoR8m7+RNQx/4VvhwL5Cmh+aMNkL4Roc20JUcBomz&#10;GvDXa+/RnpqatJx1NI0l9z93AhVn5quldv9MvRbHN13m1Gt0weeazXON3bVroL4paPc4mcRoH8wo&#10;aoT2iRbHKkYllbCSYpdcBhwv69BvCVo9Uq1WyYxG1olwax+cjOCR1djAj4cngW7o8kDzcQfj5IrF&#10;i2bvbaOnhdUugG7SJJx4HfimcU+NM6ymuE+e35PVaYEufwMAAP//AwBQSwMEFAAGAAgAAAAhAKhd&#10;aizfAAAADAEAAA8AAABkcnMvZG93bnJldi54bWxMj8FOwzAMhu9IvENkJG5bSrsBK02nDonbJLbC&#10;A2SN11Y0TtVkW3h7vNM42v70/5+LdbSDOOPke0cKnuYJCKTGmZ5aBd9fH7NXED5oMnpwhAp+0cO6&#10;vL8rdG7chfZ4rkMrOIR8rhV0IYy5lL7p0Go/dyMS345usjrwOLXSTPrC4XaQaZI8S6t74oZOj/je&#10;YfNTn6yCSi8Wm+MuVp9+taXdWEe3iXulHh9i9QYiYAw3GK76rA4lOx3ciYwXg4LZKkkZVZByD4gr&#10;sUxeMhAHXmXZEmRZyP9PlH8AAAD//wMAUEsBAi0AFAAGAAgAAAAhALaDOJL+AAAA4QEAABMAAAAA&#10;AAAAAAAAAAAAAAAAAFtDb250ZW50X1R5cGVzXS54bWxQSwECLQAUAAYACAAAACEAOP0h/9YAAACU&#10;AQAACwAAAAAAAAAAAAAAAAAvAQAAX3JlbHMvLnJlbHNQSwECLQAUAAYACAAAACEA25W6+3wCAACI&#10;BQAADgAAAAAAAAAAAAAAAAAuAgAAZHJzL2Uyb0RvYy54bWxQSwECLQAUAAYACAAAACEAqF1qLN8A&#10;AAAMAQAADwAAAAAAAAAAAAAAAADWBAAAZHJzL2Rvd25yZXYueG1sUEsFBgAAAAAEAAQA8wAAAOIF&#10;AAAAAA==&#10;" fillcolor="#2c2d84" strokecolor="#2c2d84" strokeweight="2pt"/>
            </w:pict>
          </mc:Fallback>
        </mc:AlternateContent>
      </w:r>
      <w:r w:rsidR="00824483">
        <w:rPr>
          <w:rFonts w:ascii="Arial" w:hAnsi="Arial" w:cs="Arial"/>
          <w:noProof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F62AA" wp14:editId="26BF6BEB">
                <wp:simplePos x="0" y="0"/>
                <wp:positionH relativeFrom="margin">
                  <wp:posOffset>-657225</wp:posOffset>
                </wp:positionH>
                <wp:positionV relativeFrom="paragraph">
                  <wp:posOffset>6142990</wp:posOffset>
                </wp:positionV>
                <wp:extent cx="10144125" cy="857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125" cy="85725"/>
                        </a:xfrm>
                        <a:prstGeom prst="rect">
                          <a:avLst/>
                        </a:prstGeom>
                        <a:solidFill>
                          <a:srgbClr val="2C2D84"/>
                        </a:solidFill>
                        <a:ln>
                          <a:solidFill>
                            <a:srgbClr val="2C2D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75F4F" id="Rectangle 13" o:spid="_x0000_s1026" style="position:absolute;margin-left:-51.75pt;margin-top:483.7pt;width:798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r7fAIAAIgFAAAOAAAAZHJzL2Uyb0RvYy54bWysVE1v2zAMvQ/YfxB0X20H6dYFdYogRYcB&#10;RVesHXpWZCk2IIsapcTJfv0o+SNdV+xQLAeFEslH8pnk5dWhNWyv0DdgS16c5ZwpK6Fq7LbkPx5v&#10;Plxw5oOwlTBgVcmPyvOr5ft3l51bqBnUYCqFjECsX3Su5HUIbpFlXtaqFf4MnLKk1ICtCHTFbVah&#10;6Ai9Ndkszz9mHWDlEKTynl6veyVfJnytlQzftPYqMFNyyi2kE9O5iWe2vBSLLQpXN3JIQ7whi1Y0&#10;loJOUNciCLbD5i+otpEIHnQ4k9BmoHUjVaqBqinyF9U81MKpVAuR491Ek/9/sPJu/+DukWjonF94&#10;EmMVB41t/Kf82CGRdZzIUofAJD0WeTGfF7NzziQpL84/kUgw2cnboQ9fFLQsCiVH+hiJI7G/9aE3&#10;HU1iMA+mqW4aY9IFt5u1QbYX9OFm69n1xXxA/8PM2Ld5UpbRNTsVnaRwNCoCGvtdadZUVOYspZz6&#10;UU0JCSmVDUWvqkWl+jzPc/qNacYOjh6JkgQYkTXVN2EPAKNlDzJi9wQN9tFVpXaenPN/JdY7Tx4p&#10;MtgwObeNBXwNwFBVQ+TefiSppyaytIHqeI8MoR8m7+RNQx/4VvhwL5Cmh+aMNkL4Roc20JUcBomz&#10;GvDXa+/RnpqatJx1NI0l9z93AhVn5quldv9MvRbHN13m1Gt0weeazXON3bVroL4paPc4mcRoH8wo&#10;aoT2iRbHKkYllbCSYpdcBhwv69BvCVo9Uq1WyYxG1olwax+cjOCR1djAj4cngW7o8kDzcQfj5IrF&#10;i2bvbaOnhdUugG7SJJx4HfimcU+NM6ymuE+e35PVaYEufwMAAP//AwBQSwMEFAAGAAgAAAAhAPl6&#10;nKDgAAAADQEAAA8AAABkcnMvZG93bnJldi54bWxMj0FOwzAQRfdI3MEaJHatXTClSeNUKRI7JNrA&#10;AdzYTaLG4yh2W3N7pitYzszTn/eLTXIDu9gp9B4VLOYCmMXGmx5bBd9f77MVsBA1Gj14tAp+bIBN&#10;eX9X6Nz4K+7tpY4toxAMuVbQxTjmnIems06HuR8t0u3oJ6cjjVPLzaSvFO4G/iTEkjvdI33o9Gjf&#10;Otuc6rNTUGkpt8ddqj5D9oG7sU5+m/ZKPT6kag0s2hT/YLjpkzqU5HTwZzSBDQpmC/H8QqyCbPkq&#10;gd0QmUnqd6DVSmTAy4L/b1H+AgAA//8DAFBLAQItABQABgAIAAAAIQC2gziS/gAAAOEBAAATAAAA&#10;AAAAAAAAAAAAAAAAAABbQ29udGVudF9UeXBlc10ueG1sUEsBAi0AFAAGAAgAAAAhADj9If/WAAAA&#10;lAEAAAsAAAAAAAAAAAAAAAAALwEAAF9yZWxzLy5yZWxzUEsBAi0AFAAGAAgAAAAhANuVuvt8AgAA&#10;iAUAAA4AAAAAAAAAAAAAAAAALgIAAGRycy9lMm9Eb2MueG1sUEsBAi0AFAAGAAgAAAAhAPl6nKDg&#10;AAAADQEAAA8AAAAAAAAAAAAAAAAA1gQAAGRycy9kb3ducmV2LnhtbFBLBQYAAAAABAAEAPMAAADj&#10;BQAAAAA=&#10;" fillcolor="#2c2d84" strokecolor="#2c2d84" strokeweight="2pt">
                <w10:wrap anchorx="margin"/>
              </v:rect>
            </w:pict>
          </mc:Fallback>
        </mc:AlternateContent>
      </w:r>
    </w:p>
    <w:sectPr w:rsidR="007E3EF4" w:rsidRPr="00D26C7F" w:rsidSect="00A461BE">
      <w:headerReference w:type="first" r:id="rId6"/>
      <w:pgSz w:w="16838" w:h="11906" w:orient="landscape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3372" w14:textId="77777777" w:rsidR="00826A8A" w:rsidRDefault="00826A8A" w:rsidP="00826A8A">
      <w:r>
        <w:separator/>
      </w:r>
    </w:p>
  </w:endnote>
  <w:endnote w:type="continuationSeparator" w:id="0">
    <w:p w14:paraId="6D508362" w14:textId="77777777" w:rsidR="00826A8A" w:rsidRDefault="00826A8A" w:rsidP="0082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0759" w14:textId="77777777" w:rsidR="00826A8A" w:rsidRDefault="00826A8A" w:rsidP="00826A8A">
      <w:r>
        <w:separator/>
      </w:r>
    </w:p>
  </w:footnote>
  <w:footnote w:type="continuationSeparator" w:id="0">
    <w:p w14:paraId="3CF3D2C5" w14:textId="77777777" w:rsidR="00826A8A" w:rsidRDefault="00826A8A" w:rsidP="0082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BBFF" w14:textId="7FCD6A05" w:rsidR="00CA1368" w:rsidRDefault="00CA13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69446C" wp14:editId="58F4A556">
          <wp:simplePos x="0" y="0"/>
          <wp:positionH relativeFrom="margin">
            <wp:posOffset>8181604</wp:posOffset>
          </wp:positionH>
          <wp:positionV relativeFrom="margin">
            <wp:posOffset>-487458</wp:posOffset>
          </wp:positionV>
          <wp:extent cx="854710" cy="854710"/>
          <wp:effectExtent l="0" t="0" r="2540" b="2540"/>
          <wp:wrapSquare wrapText="bothSides"/>
          <wp:docPr id="2085689496" name="Picture 5" descr="A blue circle with white text and trees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689496" name="Picture 5" descr="A blue circle with white text and trees and a bi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83"/>
    <w:rsid w:val="00093BD2"/>
    <w:rsid w:val="001B4A1F"/>
    <w:rsid w:val="0022180D"/>
    <w:rsid w:val="002F0228"/>
    <w:rsid w:val="002F3251"/>
    <w:rsid w:val="0030250A"/>
    <w:rsid w:val="004308D0"/>
    <w:rsid w:val="004646EB"/>
    <w:rsid w:val="00484047"/>
    <w:rsid w:val="00597F74"/>
    <w:rsid w:val="007A24D7"/>
    <w:rsid w:val="007E3EF4"/>
    <w:rsid w:val="008071B2"/>
    <w:rsid w:val="008155E4"/>
    <w:rsid w:val="00824483"/>
    <w:rsid w:val="00826A8A"/>
    <w:rsid w:val="0087227F"/>
    <w:rsid w:val="009B5D00"/>
    <w:rsid w:val="00A461BE"/>
    <w:rsid w:val="00A50B11"/>
    <w:rsid w:val="00A71CB3"/>
    <w:rsid w:val="00A72F8A"/>
    <w:rsid w:val="00A7399A"/>
    <w:rsid w:val="00B93F65"/>
    <w:rsid w:val="00BD384E"/>
    <w:rsid w:val="00CA1368"/>
    <w:rsid w:val="00CB4E25"/>
    <w:rsid w:val="00CF248B"/>
    <w:rsid w:val="00D26C7F"/>
    <w:rsid w:val="00E03ABB"/>
    <w:rsid w:val="00E32BE6"/>
    <w:rsid w:val="00EA6435"/>
    <w:rsid w:val="00EE153E"/>
    <w:rsid w:val="00F2692A"/>
    <w:rsid w:val="00F65444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8C2C0"/>
  <w15:chartTrackingRefBased/>
  <w15:docId w15:val="{C31F7867-808F-4BC5-9143-9F6B166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8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ABB"/>
    <w:pPr>
      <w:keepNext/>
      <w:keepLines/>
      <w:spacing w:before="240" w:after="240"/>
      <w:jc w:val="center"/>
      <w:outlineLvl w:val="0"/>
    </w:pPr>
    <w:rPr>
      <w:rFonts w:ascii="Calibri" w:eastAsiaTheme="majorEastAsia" w:hAnsi="Calibr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3ABB"/>
    <w:rPr>
      <w:rFonts w:ascii="Calibri" w:eastAsiaTheme="majorEastAsia" w:hAnsi="Calibr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table" w:styleId="TableGrid">
    <w:name w:val="Table Grid"/>
    <w:basedOn w:val="TableNormal"/>
    <w:uiPriority w:val="59"/>
    <w:rsid w:val="00F2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92A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2692A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826A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A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3699</Characters>
  <Application>Microsoft Office Word</Application>
  <DocSecurity>0</DocSecurity>
  <Lines>142</Lines>
  <Paragraphs>51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Frost</dc:creator>
  <cp:keywords/>
  <dc:description/>
  <cp:lastModifiedBy>Lauren Howard</cp:lastModifiedBy>
  <cp:revision>2</cp:revision>
  <dcterms:created xsi:type="dcterms:W3CDTF">2026-01-06T10:56:00Z</dcterms:created>
  <dcterms:modified xsi:type="dcterms:W3CDTF">2026-01-06T10:56:00Z</dcterms:modified>
</cp:coreProperties>
</file>