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01C7" w14:textId="68520B2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  <w:r w:rsidRPr="00DF30A9">
        <w:rPr>
          <w:noProof/>
        </w:rPr>
        <w:drawing>
          <wp:anchor distT="0" distB="0" distL="114300" distR="114300" simplePos="0" relativeHeight="251658240" behindDoc="0" locked="0" layoutInCell="1" allowOverlap="1" wp14:anchorId="6E0EFEE4" wp14:editId="4A582FBA">
            <wp:simplePos x="0" y="0"/>
            <wp:positionH relativeFrom="margin">
              <wp:align>center</wp:align>
            </wp:positionH>
            <wp:positionV relativeFrom="paragraph">
              <wp:posOffset>232913</wp:posOffset>
            </wp:positionV>
            <wp:extent cx="1296000" cy="129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5F611" w14:textId="532D004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155E7067" w14:textId="37220AE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30CDD26D" w14:textId="7B31E42D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6EB7F039" w14:textId="77777777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368B93ED" w14:textId="42A8AFA3" w:rsidR="0043444D" w:rsidRDefault="00DF30A9" w:rsidP="00B134E4">
      <w:pPr>
        <w:jc w:val="center"/>
        <w:rPr>
          <w:rFonts w:cstheme="minorHAnsi"/>
          <w:b/>
          <w:bCs/>
          <w:sz w:val="32"/>
          <w:szCs w:val="32"/>
        </w:rPr>
      </w:pPr>
      <w:r w:rsidRPr="00B134E4">
        <w:rPr>
          <w:rFonts w:cstheme="minorHAnsi"/>
          <w:b/>
          <w:bCs/>
          <w:sz w:val="32"/>
          <w:szCs w:val="32"/>
        </w:rPr>
        <w:t>Buckinghamshire – Measuring</w:t>
      </w:r>
      <w:r w:rsidR="0043444D">
        <w:rPr>
          <w:rFonts w:cstheme="minorHAnsi"/>
          <w:b/>
          <w:bCs/>
          <w:sz w:val="32"/>
          <w:szCs w:val="32"/>
        </w:rPr>
        <w:t xml:space="preserve"> the</w:t>
      </w:r>
      <w:r w:rsidRPr="00B134E4">
        <w:rPr>
          <w:rFonts w:cstheme="minorHAnsi"/>
          <w:b/>
          <w:bCs/>
          <w:sz w:val="32"/>
          <w:szCs w:val="32"/>
        </w:rPr>
        <w:t xml:space="preserve"> Impact</w:t>
      </w:r>
      <w:r w:rsidR="0043444D">
        <w:rPr>
          <w:rFonts w:cstheme="minorHAnsi"/>
          <w:b/>
          <w:bCs/>
          <w:sz w:val="32"/>
          <w:szCs w:val="32"/>
        </w:rPr>
        <w:t xml:space="preserve"> of the </w:t>
      </w:r>
      <w:r w:rsidR="005C2D55">
        <w:rPr>
          <w:rFonts w:cstheme="minorHAnsi"/>
          <w:b/>
          <w:bCs/>
          <w:sz w:val="32"/>
          <w:szCs w:val="32"/>
        </w:rPr>
        <w:t>Neuroinclusive Education Network</w:t>
      </w:r>
    </w:p>
    <w:p w14:paraId="455B19EA" w14:textId="7F705150" w:rsidR="00DF30A9" w:rsidRDefault="00106E8E" w:rsidP="00B134E4">
      <w:pPr>
        <w:jc w:val="center"/>
        <w:rPr>
          <w:rFonts w:cstheme="minorHAnsi"/>
          <w:b/>
          <w:bCs/>
          <w:sz w:val="32"/>
          <w:szCs w:val="32"/>
        </w:rPr>
      </w:pPr>
      <w:r w:rsidRPr="00B134E4">
        <w:rPr>
          <w:rFonts w:cstheme="minorHAnsi"/>
          <w:b/>
          <w:bCs/>
          <w:sz w:val="32"/>
          <w:szCs w:val="32"/>
        </w:rPr>
        <w:t xml:space="preserve">using the </w:t>
      </w:r>
      <w:hyperlink r:id="rId9" w:history="1">
        <w:r w:rsidR="005C2D55">
          <w:rPr>
            <w:rStyle w:val="Hyperlink"/>
            <w:rFonts w:cstheme="minorHAnsi"/>
            <w:b/>
            <w:bCs/>
            <w:sz w:val="32"/>
            <w:szCs w:val="32"/>
          </w:rPr>
          <w:t>NEN</w:t>
        </w:r>
        <w:r w:rsidR="00B134E4" w:rsidRPr="00697DB7">
          <w:rPr>
            <w:rStyle w:val="Hyperlink"/>
            <w:rFonts w:cstheme="minorHAnsi"/>
            <w:b/>
            <w:bCs/>
            <w:sz w:val="32"/>
            <w:szCs w:val="32"/>
          </w:rPr>
          <w:t xml:space="preserve"> Standards</w:t>
        </w:r>
        <w:r w:rsidR="00697DB7" w:rsidRPr="00697DB7">
          <w:rPr>
            <w:rStyle w:val="Hyperlink"/>
            <w:rFonts w:cstheme="minorHAnsi"/>
            <w:b/>
            <w:bCs/>
            <w:sz w:val="32"/>
            <w:szCs w:val="32"/>
          </w:rPr>
          <w:t xml:space="preserve"> Framework</w:t>
        </w:r>
      </w:hyperlink>
    </w:p>
    <w:p w14:paraId="6D7F0AC8" w14:textId="3BF33FDF" w:rsidR="0043444D" w:rsidRDefault="00697DB7" w:rsidP="00B134E4">
      <w:pPr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DE61E08" wp14:editId="2C046A39">
            <wp:extent cx="990600" cy="9956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5940" cy="101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7F282" w14:textId="60DF6CD7" w:rsidR="0043444D" w:rsidRDefault="00041C41" w:rsidP="00B134E4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32A5E3" wp14:editId="3D22D0CF">
                <wp:simplePos x="0" y="0"/>
                <wp:positionH relativeFrom="column">
                  <wp:posOffset>787400</wp:posOffset>
                </wp:positionH>
                <wp:positionV relativeFrom="paragraph">
                  <wp:posOffset>324485</wp:posOffset>
                </wp:positionV>
                <wp:extent cx="8534400" cy="3619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872989" id="Rectangle 3" o:spid="_x0000_s1026" style="position:absolute;margin-left:62pt;margin-top:25.55pt;width:672pt;height:28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yfQIAAFc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" fillcolor="white [3212]" strokecolor="#1f3763 [1604]" strokeweight="2.25pt"/>
            </w:pict>
          </mc:Fallback>
        </mc:AlternateContent>
      </w:r>
    </w:p>
    <w:p w14:paraId="1762B5D1" w14:textId="73CE0F7B" w:rsidR="0043444D" w:rsidRDefault="0043444D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Name: </w:t>
      </w:r>
    </w:p>
    <w:p w14:paraId="7839E4EB" w14:textId="4334E508" w:rsidR="00A00A13" w:rsidRDefault="00041C41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3A34FB" wp14:editId="65FE6750">
                <wp:simplePos x="0" y="0"/>
                <wp:positionH relativeFrom="column">
                  <wp:posOffset>787400</wp:posOffset>
                </wp:positionH>
                <wp:positionV relativeFrom="paragraph">
                  <wp:posOffset>14605</wp:posOffset>
                </wp:positionV>
                <wp:extent cx="8534400" cy="3619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B107A3" id="Rectangle 4" o:spid="_x0000_s1026" style="position:absolute;margin-left:62pt;margin-top:1.15pt;width:672pt;height:2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yfQIAAFc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" fillcolor="white [3212]" strokecolor="#1f3763 [1604]" strokeweight="2.25pt"/>
            </w:pict>
          </mc:Fallback>
        </mc:AlternateContent>
      </w:r>
      <w:r w:rsidR="00A00A13">
        <w:rPr>
          <w:rFonts w:cstheme="minorHAnsi"/>
          <w:b/>
          <w:bCs/>
          <w:sz w:val="32"/>
          <w:szCs w:val="32"/>
        </w:rPr>
        <w:t>Setting:</w:t>
      </w:r>
    </w:p>
    <w:p w14:paraId="42AAD270" w14:textId="77777777" w:rsidR="00A00A13" w:rsidRDefault="00A00A13" w:rsidP="0043444D">
      <w:pPr>
        <w:rPr>
          <w:rFonts w:cstheme="minorHAnsi"/>
          <w:b/>
          <w:bCs/>
          <w:sz w:val="32"/>
          <w:szCs w:val="32"/>
        </w:rPr>
      </w:pPr>
    </w:p>
    <w:p w14:paraId="7F6FD952" w14:textId="1ACE6240" w:rsidR="00A00A13" w:rsidRDefault="00A00A13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Key:  </w:t>
      </w:r>
      <w:r w:rsidR="006C63FD">
        <w:rPr>
          <w:rFonts w:cstheme="minorHAnsi"/>
          <w:b/>
          <w:bCs/>
          <w:sz w:val="32"/>
          <w:szCs w:val="32"/>
        </w:rPr>
        <w:t xml:space="preserve">E = </w:t>
      </w:r>
      <w:r>
        <w:rPr>
          <w:rFonts w:cstheme="minorHAnsi"/>
          <w:b/>
          <w:bCs/>
          <w:sz w:val="32"/>
          <w:szCs w:val="32"/>
        </w:rPr>
        <w:t xml:space="preserve">Emerging </w:t>
      </w:r>
      <w:r w:rsidR="006C63FD">
        <w:rPr>
          <w:rFonts w:cstheme="minorHAnsi"/>
          <w:b/>
          <w:bCs/>
          <w:sz w:val="32"/>
          <w:szCs w:val="32"/>
        </w:rPr>
        <w:t>–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A</w:t>
      </w:r>
      <w:r w:rsidR="006C63FD">
        <w:rPr>
          <w:rFonts w:cstheme="minorHAnsi"/>
          <w:b/>
          <w:bCs/>
          <w:sz w:val="32"/>
          <w:szCs w:val="32"/>
        </w:rPr>
        <w:t xml:space="preserve">n area where there is room for </w:t>
      </w:r>
      <w:r w:rsidR="00C6408D">
        <w:rPr>
          <w:rFonts w:cstheme="minorHAnsi"/>
          <w:b/>
          <w:bCs/>
          <w:sz w:val="32"/>
          <w:szCs w:val="32"/>
        </w:rPr>
        <w:t>development,</w:t>
      </w:r>
      <w:r w:rsidR="00433958">
        <w:rPr>
          <w:rFonts w:cstheme="minorHAnsi"/>
          <w:b/>
          <w:bCs/>
          <w:sz w:val="32"/>
          <w:szCs w:val="32"/>
        </w:rPr>
        <w:t xml:space="preserve"> or we haven’t yet considered</w:t>
      </w:r>
    </w:p>
    <w:p w14:paraId="377B4E94" w14:textId="5F6E92EA" w:rsidR="006C63FD" w:rsidRDefault="006C63FD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 xml:space="preserve">D = Developing </w:t>
      </w:r>
      <w:r w:rsidR="00433958">
        <w:rPr>
          <w:rFonts w:cstheme="minorHAnsi"/>
          <w:b/>
          <w:bCs/>
          <w:sz w:val="32"/>
          <w:szCs w:val="32"/>
        </w:rPr>
        <w:t>–</w:t>
      </w:r>
      <w:r w:rsidR="006E1D71"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W</w:t>
      </w:r>
      <w:r w:rsidR="006E1D71">
        <w:rPr>
          <w:rFonts w:cstheme="minorHAnsi"/>
          <w:b/>
          <w:bCs/>
          <w:sz w:val="32"/>
          <w:szCs w:val="32"/>
        </w:rPr>
        <w:t>e</w:t>
      </w:r>
      <w:r w:rsidR="00433958">
        <w:rPr>
          <w:rFonts w:cstheme="minorHAnsi"/>
          <w:b/>
          <w:bCs/>
          <w:sz w:val="32"/>
          <w:szCs w:val="32"/>
        </w:rPr>
        <w:t>’re on our way</w:t>
      </w:r>
    </w:p>
    <w:p w14:paraId="35130A10" w14:textId="14C02A18" w:rsidR="00E024FC" w:rsidRDefault="00E024FC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 xml:space="preserve">S = Secure – We </w:t>
      </w:r>
      <w:r w:rsidR="006E1D71">
        <w:rPr>
          <w:rFonts w:cstheme="minorHAnsi"/>
          <w:b/>
          <w:bCs/>
          <w:sz w:val="32"/>
          <w:szCs w:val="32"/>
        </w:rPr>
        <w:t xml:space="preserve">know we </w:t>
      </w:r>
      <w:r>
        <w:rPr>
          <w:rFonts w:cstheme="minorHAnsi"/>
          <w:b/>
          <w:bCs/>
          <w:sz w:val="32"/>
          <w:szCs w:val="32"/>
        </w:rPr>
        <w:t>do</w:t>
      </w:r>
      <w:r w:rsidR="00852E63">
        <w:rPr>
          <w:rFonts w:cstheme="minorHAnsi"/>
          <w:b/>
          <w:bCs/>
          <w:sz w:val="32"/>
          <w:szCs w:val="32"/>
        </w:rPr>
        <w:t xml:space="preserve"> this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well</w:t>
      </w:r>
      <w:r w:rsidR="006E1D71">
        <w:rPr>
          <w:rFonts w:cstheme="minorHAnsi"/>
          <w:b/>
          <w:bCs/>
          <w:sz w:val="32"/>
          <w:szCs w:val="32"/>
        </w:rPr>
        <w:t xml:space="preserve"> and </w:t>
      </w:r>
      <w:r w:rsidR="008C7A95">
        <w:rPr>
          <w:rFonts w:cstheme="minorHAnsi"/>
          <w:b/>
          <w:bCs/>
          <w:sz w:val="32"/>
          <w:szCs w:val="32"/>
        </w:rPr>
        <w:t>can</w:t>
      </w:r>
      <w:r w:rsidR="006E1D71"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explain</w:t>
      </w:r>
      <w:r w:rsidR="00563EEF">
        <w:rPr>
          <w:rFonts w:cstheme="minorHAnsi"/>
          <w:b/>
          <w:bCs/>
          <w:sz w:val="32"/>
          <w:szCs w:val="32"/>
        </w:rPr>
        <w:t xml:space="preserve"> and </w:t>
      </w:r>
      <w:r w:rsidR="006E1D71">
        <w:rPr>
          <w:rFonts w:cstheme="minorHAnsi"/>
          <w:b/>
          <w:bCs/>
          <w:sz w:val="32"/>
          <w:szCs w:val="32"/>
        </w:rPr>
        <w:t>demonstrate</w:t>
      </w:r>
      <w:r w:rsidR="00563EEF">
        <w:rPr>
          <w:rFonts w:cstheme="minorHAnsi"/>
          <w:b/>
          <w:bCs/>
          <w:sz w:val="32"/>
          <w:szCs w:val="32"/>
        </w:rPr>
        <w:t xml:space="preserve"> how</w:t>
      </w:r>
    </w:p>
    <w:p w14:paraId="15EF6F23" w14:textId="23C4DA8D" w:rsidR="00DF30A9" w:rsidRDefault="00DF30A9">
      <w:pPr>
        <w:rPr>
          <w:rFonts w:cstheme="minorHAnsi"/>
          <w:sz w:val="32"/>
          <w:szCs w:val="32"/>
        </w:rPr>
      </w:pPr>
    </w:p>
    <w:p w14:paraId="36A1E23E" w14:textId="2E197B2F" w:rsidR="00EF185A" w:rsidRDefault="00026DC0" w:rsidP="78C40291">
      <w:pPr>
        <w:rPr>
          <w:sz w:val="32"/>
          <w:szCs w:val="32"/>
        </w:rPr>
      </w:pPr>
      <w:r w:rsidRPr="78C40291">
        <w:rPr>
          <w:sz w:val="32"/>
          <w:szCs w:val="32"/>
        </w:rPr>
        <w:t xml:space="preserve">Early Years Service </w:t>
      </w:r>
      <w:r w:rsidR="00D15F69">
        <w:rPr>
          <w:sz w:val="32"/>
          <w:szCs w:val="32"/>
        </w:rPr>
        <w:t>November 2025</w:t>
      </w:r>
    </w:p>
    <w:tbl>
      <w:tblPr>
        <w:tblStyle w:val="TableGrid"/>
        <w:tblpPr w:leftFromText="180" w:rightFromText="180" w:vertAnchor="text" w:horzAnchor="margin" w:tblpXSpec="center" w:tblpY="279"/>
        <w:tblW w:w="15877" w:type="dxa"/>
        <w:jc w:val="center"/>
        <w:tblLook w:val="04A0" w:firstRow="1" w:lastRow="0" w:firstColumn="1" w:lastColumn="0" w:noHBand="0" w:noVBand="1"/>
      </w:tblPr>
      <w:tblGrid>
        <w:gridCol w:w="1553"/>
        <w:gridCol w:w="2835"/>
        <w:gridCol w:w="3825"/>
        <w:gridCol w:w="3384"/>
        <w:gridCol w:w="713"/>
        <w:gridCol w:w="385"/>
        <w:gridCol w:w="329"/>
        <w:gridCol w:w="713"/>
        <w:gridCol w:w="713"/>
        <w:gridCol w:w="713"/>
        <w:gridCol w:w="714"/>
      </w:tblGrid>
      <w:tr w:rsidR="0025643A" w14:paraId="417AFB01" w14:textId="77777777" w:rsidTr="78C40291">
        <w:trPr>
          <w:jc w:val="center"/>
        </w:trPr>
        <w:tc>
          <w:tcPr>
            <w:tcW w:w="15877" w:type="dxa"/>
            <w:gridSpan w:val="11"/>
            <w:shd w:val="clear" w:color="auto" w:fill="00B050"/>
          </w:tcPr>
          <w:p w14:paraId="100596E8" w14:textId="56A47C95" w:rsidR="0025643A" w:rsidRPr="00870C07" w:rsidRDefault="0025643A" w:rsidP="008501C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C07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Buckinghamshire – Measuring </w:t>
            </w:r>
            <w:r w:rsidR="005C2D55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NEN</w:t>
            </w:r>
            <w:r w:rsidRPr="00870C07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Impact Audit</w:t>
            </w:r>
          </w:p>
        </w:tc>
      </w:tr>
      <w:tr w:rsidR="00527305" w14:paraId="2A05EFBD" w14:textId="3063FAC5" w:rsidTr="00B33BA3">
        <w:trPr>
          <w:jc w:val="center"/>
        </w:trPr>
        <w:tc>
          <w:tcPr>
            <w:tcW w:w="11597" w:type="dxa"/>
            <w:gridSpan w:val="4"/>
            <w:shd w:val="clear" w:color="auto" w:fill="FFFFFF" w:themeFill="background1"/>
          </w:tcPr>
          <w:p w14:paraId="26A88513" w14:textId="7C357BCC" w:rsidR="00527305" w:rsidRPr="00A164DA" w:rsidRDefault="00527305" w:rsidP="008501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3CF59FA3" w14:textId="637C89C8" w:rsidR="00527305" w:rsidRPr="008F7F9B" w:rsidRDefault="008F7F9B" w:rsidP="78C40291">
            <w:pPr>
              <w:jc w:val="center"/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8F7F9B">
              <w:rPr>
                <w:b/>
                <w:bCs/>
                <w:color w:val="BFBFBF" w:themeColor="background1" w:themeShade="BF"/>
                <w:sz w:val="24"/>
                <w:szCs w:val="24"/>
              </w:rPr>
              <w:t>Today’s Date</w:t>
            </w:r>
          </w:p>
        </w:tc>
        <w:tc>
          <w:tcPr>
            <w:tcW w:w="214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06982A97" w14:textId="677B3D49" w:rsidR="00527305" w:rsidRPr="008F7F9B" w:rsidRDefault="008F7F9B" w:rsidP="78C40291">
            <w:pPr>
              <w:jc w:val="center"/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8F7F9B">
              <w:rPr>
                <w:b/>
                <w:bCs/>
                <w:color w:val="BFBFBF" w:themeColor="background1" w:themeShade="BF"/>
                <w:sz w:val="24"/>
                <w:szCs w:val="24"/>
              </w:rPr>
              <w:t>Review Date</w:t>
            </w:r>
          </w:p>
        </w:tc>
      </w:tr>
      <w:tr w:rsidR="006A3039" w14:paraId="5BED98C3" w14:textId="77777777" w:rsidTr="00B33BA3">
        <w:trPr>
          <w:jc w:val="center"/>
        </w:trPr>
        <w:tc>
          <w:tcPr>
            <w:tcW w:w="11597" w:type="dxa"/>
            <w:gridSpan w:val="4"/>
            <w:shd w:val="clear" w:color="auto" w:fill="4472C4" w:themeFill="accent1"/>
          </w:tcPr>
          <w:p w14:paraId="28926926" w14:textId="54C30A44" w:rsidR="006A3039" w:rsidRPr="00870C07" w:rsidRDefault="00B62375" w:rsidP="008501C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70C0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 Unique Child</w:t>
            </w:r>
          </w:p>
        </w:tc>
        <w:tc>
          <w:tcPr>
            <w:tcW w:w="2140" w:type="dxa"/>
            <w:gridSpan w:val="4"/>
            <w:tcBorders>
              <w:right w:val="single" w:sz="18" w:space="0" w:color="auto"/>
            </w:tcBorders>
            <w:shd w:val="clear" w:color="auto" w:fill="2F5496" w:themeFill="accent1" w:themeFillShade="BF"/>
          </w:tcPr>
          <w:p w14:paraId="13D8A781" w14:textId="77777777" w:rsidR="006A3039" w:rsidRPr="00850983" w:rsidRDefault="006A3039" w:rsidP="008501C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left w:val="single" w:sz="18" w:space="0" w:color="auto"/>
            </w:tcBorders>
            <w:shd w:val="clear" w:color="auto" w:fill="2F5496" w:themeFill="accent1" w:themeFillShade="BF"/>
          </w:tcPr>
          <w:p w14:paraId="799ECB63" w14:textId="77777777" w:rsidR="006A3039" w:rsidRPr="00850983" w:rsidRDefault="006A3039" w:rsidP="008501C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3BA3" w14:paraId="1A833086" w14:textId="4A56F02E" w:rsidTr="00B33BA3">
        <w:trPr>
          <w:trHeight w:val="679"/>
          <w:jc w:val="center"/>
        </w:trPr>
        <w:tc>
          <w:tcPr>
            <w:tcW w:w="11597" w:type="dxa"/>
            <w:gridSpan w:val="4"/>
            <w:vAlign w:val="center"/>
          </w:tcPr>
          <w:p w14:paraId="1FFF26E0" w14:textId="4ECE2BC6" w:rsidR="000B4679" w:rsidRPr="00A164DA" w:rsidRDefault="000B4679" w:rsidP="00786225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One: Understanding the strengths, interests, and needs of each autistic child.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2CC18F48" w14:textId="65206719" w:rsidR="000B4679" w:rsidRPr="00A164DA" w:rsidRDefault="007B2571" w:rsidP="00B33BA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bottom"/>
          </w:tcPr>
          <w:p w14:paraId="18A28889" w14:textId="14822C8B" w:rsidR="000B4679" w:rsidRPr="00A164DA" w:rsidRDefault="007B2571" w:rsidP="00B33BA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E5CBF45" w14:textId="7C0057C2" w:rsidR="000B4679" w:rsidRPr="00A164DA" w:rsidRDefault="007B2571" w:rsidP="00B33BA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37228931" w14:textId="76F7028D" w:rsidR="000B4679" w:rsidRPr="00A164DA" w:rsidRDefault="007B2571" w:rsidP="00B33BA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42F5EF72" w14:textId="516D7038" w:rsidR="000B4679" w:rsidRPr="00A164DA" w:rsidRDefault="00F7454B" w:rsidP="00B33BA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4" w:type="dxa"/>
            <w:shd w:val="clear" w:color="auto" w:fill="FFFFFF" w:themeFill="background1"/>
            <w:vAlign w:val="bottom"/>
          </w:tcPr>
          <w:p w14:paraId="0448EE08" w14:textId="3D21B6C5" w:rsidR="000B4679" w:rsidRPr="00A164DA" w:rsidRDefault="00F7454B" w:rsidP="00B33BA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</w:tr>
      <w:tr w:rsidR="00B33BA3" w14:paraId="42A2523F" w14:textId="0918DB17" w:rsidTr="00B33BA3">
        <w:trPr>
          <w:trHeight w:val="845"/>
          <w:jc w:val="center"/>
        </w:trPr>
        <w:tc>
          <w:tcPr>
            <w:tcW w:w="11597" w:type="dxa"/>
            <w:gridSpan w:val="4"/>
            <w:vAlign w:val="center"/>
          </w:tcPr>
          <w:p w14:paraId="40CAE43A" w14:textId="79897EE2" w:rsidR="000B4679" w:rsidRPr="00A164DA" w:rsidRDefault="000B4679" w:rsidP="00786225">
            <w:pPr>
              <w:rPr>
                <w:rFonts w:cstheme="minorHAnsi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S1. We are committed to developing knowledge about autism, and we gather information from a range of sources to fully understand the individual autistic child.</w:t>
            </w:r>
          </w:p>
        </w:tc>
        <w:tc>
          <w:tcPr>
            <w:tcW w:w="713" w:type="dxa"/>
            <w:shd w:val="clear" w:color="auto" w:fill="FFFFFF" w:themeFill="background1"/>
          </w:tcPr>
          <w:p w14:paraId="3593F12F" w14:textId="639EEE71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07987776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2BA61B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8905B82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65137440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1999A6F9" w14:textId="31C38A0D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17BE2F4C" w14:textId="10DD3640" w:rsidTr="00B33BA3">
        <w:trPr>
          <w:trHeight w:val="1053"/>
          <w:jc w:val="center"/>
        </w:trPr>
        <w:tc>
          <w:tcPr>
            <w:tcW w:w="11597" w:type="dxa"/>
            <w:gridSpan w:val="4"/>
            <w:vAlign w:val="center"/>
          </w:tcPr>
          <w:p w14:paraId="683A182C" w14:textId="0C3DC45D" w:rsidR="000B4679" w:rsidRPr="00A164DA" w:rsidRDefault="000B4679" w:rsidP="00786225">
            <w:pPr>
              <w:rPr>
                <w:rFonts w:cstheme="minorHAnsi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S2. We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take into account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how each child’s co-occurring conditions and differences, including anxiety and stress, can affect behaviour and cause barriers to learning. We are committed to understanding the causes and functions of a child’s behaviour.</w:t>
            </w:r>
          </w:p>
        </w:tc>
        <w:tc>
          <w:tcPr>
            <w:tcW w:w="713" w:type="dxa"/>
            <w:shd w:val="clear" w:color="auto" w:fill="FFFFFF" w:themeFill="background1"/>
          </w:tcPr>
          <w:p w14:paraId="2EA78112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6B0F5213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CC8821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8F431D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5D0E834E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11770055" w14:textId="2222DDE6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24855C90" w14:textId="2B85C71B" w:rsidTr="00B33BA3">
        <w:trPr>
          <w:trHeight w:val="640"/>
          <w:jc w:val="center"/>
        </w:trPr>
        <w:tc>
          <w:tcPr>
            <w:tcW w:w="11597" w:type="dxa"/>
            <w:gridSpan w:val="4"/>
            <w:vAlign w:val="center"/>
          </w:tcPr>
          <w:p w14:paraId="76292BE1" w14:textId="565FEC2F" w:rsidR="000B4679" w:rsidRPr="00A164DA" w:rsidRDefault="000B4679" w:rsidP="00786225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Two: Enabling the autistic child to contribute to and influence decisions.</w:t>
            </w:r>
          </w:p>
        </w:tc>
        <w:tc>
          <w:tcPr>
            <w:tcW w:w="713" w:type="dxa"/>
            <w:shd w:val="clear" w:color="auto" w:fill="FFFFFF" w:themeFill="background1"/>
          </w:tcPr>
          <w:p w14:paraId="7A63771D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54DD9CA7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4CF9C17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BA40E00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1FB9E234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463425C8" w14:textId="156C64CB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552B82A3" w14:textId="7DCC7170" w:rsidTr="00B33BA3">
        <w:trPr>
          <w:trHeight w:val="591"/>
          <w:jc w:val="center"/>
        </w:trPr>
        <w:tc>
          <w:tcPr>
            <w:tcW w:w="11597" w:type="dxa"/>
            <w:gridSpan w:val="4"/>
            <w:vAlign w:val="center"/>
          </w:tcPr>
          <w:p w14:paraId="2B3CC3AD" w14:textId="274EF0D6" w:rsidR="000B4679" w:rsidRPr="00A164DA" w:rsidRDefault="000B4679" w:rsidP="00786225">
            <w:pPr>
              <w:rPr>
                <w:rFonts w:cstheme="minorHAnsi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S3. We use child-centred approaches to consult and involve children in any decisions being made.</w:t>
            </w:r>
          </w:p>
        </w:tc>
        <w:tc>
          <w:tcPr>
            <w:tcW w:w="713" w:type="dxa"/>
            <w:shd w:val="clear" w:color="auto" w:fill="FFFFFF" w:themeFill="background1"/>
          </w:tcPr>
          <w:p w14:paraId="69594B16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21A27DEF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C605B9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D68A7C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458B8FB0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2728D3B8" w14:textId="5F08A2C5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66F64B4B" w14:textId="78E746F4" w:rsidTr="00B33BA3">
        <w:trPr>
          <w:trHeight w:val="791"/>
          <w:jc w:val="center"/>
        </w:trPr>
        <w:tc>
          <w:tcPr>
            <w:tcW w:w="11597" w:type="dxa"/>
            <w:gridSpan w:val="4"/>
            <w:vAlign w:val="center"/>
          </w:tcPr>
          <w:p w14:paraId="01925C94" w14:textId="0081122E" w:rsidR="000B4679" w:rsidRPr="00A164DA" w:rsidRDefault="000B4679" w:rsidP="00786225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S4. We provide play and learning opportunities that are planned around the needs and interests of each individual child and that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take into account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their autism. We involve children as partners in their learning goals.</w:t>
            </w:r>
          </w:p>
        </w:tc>
        <w:tc>
          <w:tcPr>
            <w:tcW w:w="713" w:type="dxa"/>
            <w:shd w:val="clear" w:color="auto" w:fill="FFFFFF" w:themeFill="background1"/>
          </w:tcPr>
          <w:p w14:paraId="0708BE2A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75741118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C0BCA2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D115084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1C4AC49A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5B99E48B" w14:textId="31222C42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7D48F9" w14:paraId="27AE76EA" w14:textId="77777777" w:rsidTr="00B33BA3">
        <w:trPr>
          <w:jc w:val="center"/>
        </w:trPr>
        <w:tc>
          <w:tcPr>
            <w:tcW w:w="1553" w:type="dxa"/>
            <w:vMerge w:val="restart"/>
            <w:shd w:val="clear" w:color="auto" w:fill="4472C4" w:themeFill="accent1"/>
            <w:textDirection w:val="btLr"/>
            <w:vAlign w:val="center"/>
          </w:tcPr>
          <w:p w14:paraId="17CA595D" w14:textId="6DF1CB66" w:rsidR="007D48F9" w:rsidRPr="007D48F9" w:rsidRDefault="007D48F9" w:rsidP="007D48F9">
            <w:pPr>
              <w:ind w:left="113" w:right="113"/>
              <w:jc w:val="center"/>
              <w:rPr>
                <w:rFonts w:cstheme="minorHAnsi"/>
                <w:sz w:val="44"/>
                <w:szCs w:val="44"/>
                <w:shd w:val="clear" w:color="auto" w:fill="FAF9F8"/>
              </w:rPr>
            </w:pPr>
            <w:r w:rsidRPr="007D48F9">
              <w:rPr>
                <w:rFonts w:cstheme="minorHAnsi"/>
                <w:color w:val="FFFFFF" w:themeColor="background1"/>
                <w:sz w:val="44"/>
                <w:szCs w:val="44"/>
              </w:rPr>
              <w:t>A Unique Child:</w:t>
            </w:r>
          </w:p>
        </w:tc>
        <w:tc>
          <w:tcPr>
            <w:tcW w:w="2835" w:type="dxa"/>
            <w:shd w:val="clear" w:color="auto" w:fill="4472C4" w:themeFill="accent1"/>
          </w:tcPr>
          <w:p w14:paraId="48D311E3" w14:textId="6969715B" w:rsidR="007D48F9" w:rsidRPr="00947B97" w:rsidRDefault="007D48F9" w:rsidP="00947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Focus Standard Numbers</w:t>
            </w:r>
          </w:p>
        </w:tc>
        <w:tc>
          <w:tcPr>
            <w:tcW w:w="3825" w:type="dxa"/>
            <w:shd w:val="clear" w:color="auto" w:fill="4472C4" w:themeFill="accent1"/>
          </w:tcPr>
          <w:p w14:paraId="646207C8" w14:textId="29DAA727" w:rsidR="007D48F9" w:rsidRPr="00947B97" w:rsidRDefault="007D48F9" w:rsidP="00947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Current Status:</w:t>
            </w:r>
          </w:p>
        </w:tc>
        <w:tc>
          <w:tcPr>
            <w:tcW w:w="5524" w:type="dxa"/>
            <w:gridSpan w:val="5"/>
            <w:shd w:val="clear" w:color="auto" w:fill="4472C4" w:themeFill="accent1"/>
          </w:tcPr>
          <w:p w14:paraId="01120231" w14:textId="77777777" w:rsidR="007D48F9" w:rsidRPr="00947B97" w:rsidRDefault="007D48F9" w:rsidP="00947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Next Steps</w:t>
            </w:r>
          </w:p>
        </w:tc>
        <w:tc>
          <w:tcPr>
            <w:tcW w:w="2140" w:type="dxa"/>
            <w:gridSpan w:val="3"/>
            <w:shd w:val="clear" w:color="auto" w:fill="4472C4" w:themeFill="accent1"/>
          </w:tcPr>
          <w:p w14:paraId="6FCD07BB" w14:textId="662A9805" w:rsidR="007D48F9" w:rsidRPr="00947B97" w:rsidRDefault="007D48F9" w:rsidP="00947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Review</w:t>
            </w:r>
          </w:p>
        </w:tc>
      </w:tr>
      <w:tr w:rsidR="007D48F9" w14:paraId="019BBF52" w14:textId="77777777" w:rsidTr="00B33BA3">
        <w:trPr>
          <w:trHeight w:val="4791"/>
          <w:jc w:val="center"/>
        </w:trPr>
        <w:tc>
          <w:tcPr>
            <w:tcW w:w="1553" w:type="dxa"/>
            <w:vMerge/>
            <w:shd w:val="clear" w:color="auto" w:fill="4472C4" w:themeFill="accent1"/>
          </w:tcPr>
          <w:p w14:paraId="57C83BC2" w14:textId="77777777" w:rsidR="007D48F9" w:rsidRPr="00A164DA" w:rsidRDefault="007D48F9" w:rsidP="008501C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A9625C" w14:textId="77777777" w:rsidR="007D48F9" w:rsidRDefault="007D48F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25" w:type="dxa"/>
          </w:tcPr>
          <w:p w14:paraId="782F37F0" w14:textId="77777777" w:rsidR="007D48F9" w:rsidRDefault="007D48F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5524" w:type="dxa"/>
            <w:gridSpan w:val="5"/>
          </w:tcPr>
          <w:p w14:paraId="69D97A2A" w14:textId="77777777" w:rsidR="007D48F9" w:rsidRDefault="007D48F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140" w:type="dxa"/>
            <w:gridSpan w:val="3"/>
          </w:tcPr>
          <w:p w14:paraId="4681EE32" w14:textId="2DA9E596" w:rsidR="007D48F9" w:rsidRDefault="007D48F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2F887830" w14:textId="15ADFEA7" w:rsidTr="00B33BA3">
        <w:trPr>
          <w:jc w:val="center"/>
        </w:trPr>
        <w:tc>
          <w:tcPr>
            <w:tcW w:w="11597" w:type="dxa"/>
            <w:gridSpan w:val="4"/>
            <w:shd w:val="clear" w:color="auto" w:fill="7030A0"/>
          </w:tcPr>
          <w:p w14:paraId="3923DAAA" w14:textId="166E93B7" w:rsidR="00B33BA3" w:rsidRPr="00870C07" w:rsidRDefault="00B33BA3" w:rsidP="00B33BA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AF9F8"/>
              </w:rPr>
            </w:pPr>
            <w:r w:rsidRPr="00870C0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Positive Relationships: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631C61CF" w14:textId="5AD80429" w:rsidR="00B33BA3" w:rsidRPr="00A164DA" w:rsidRDefault="00B33BA3" w:rsidP="00B33BA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bottom"/>
          </w:tcPr>
          <w:p w14:paraId="52E13FC7" w14:textId="2C247AE7" w:rsidR="00B33BA3" w:rsidRPr="00A164DA" w:rsidRDefault="00B33BA3" w:rsidP="00B33BA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26589F9E" w14:textId="0E8BB9E0" w:rsidR="00B33BA3" w:rsidRPr="00A164DA" w:rsidRDefault="00B33BA3" w:rsidP="00B33BA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30F04093" w14:textId="21668491" w:rsidR="00B33BA3" w:rsidRPr="00A164DA" w:rsidRDefault="00B33BA3" w:rsidP="00B33BA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0BEA0885" w14:textId="74F87F5F" w:rsidR="00B33BA3" w:rsidRPr="00A164DA" w:rsidRDefault="00B33BA3" w:rsidP="00B33BA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4" w:type="dxa"/>
            <w:shd w:val="clear" w:color="auto" w:fill="FFFFFF" w:themeFill="background1"/>
            <w:vAlign w:val="bottom"/>
          </w:tcPr>
          <w:p w14:paraId="4F0EFA86" w14:textId="7C3B5166" w:rsidR="00B33BA3" w:rsidRPr="00A164DA" w:rsidRDefault="00B33BA3" w:rsidP="00B33BA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</w:tr>
      <w:tr w:rsidR="00B33BA3" w14:paraId="2F60B964" w14:textId="7CB8A51D" w:rsidTr="00B33BA3">
        <w:trPr>
          <w:trHeight w:val="691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21B4C7C6" w14:textId="6F44788B" w:rsidR="000B4679" w:rsidRPr="00A164DA" w:rsidRDefault="000B4679" w:rsidP="00FE50B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Three: Collaboration with parents/carers and other professionals and services Relationships</w:t>
            </w:r>
          </w:p>
        </w:tc>
        <w:tc>
          <w:tcPr>
            <w:tcW w:w="713" w:type="dxa"/>
            <w:shd w:val="clear" w:color="auto" w:fill="FFFFFF" w:themeFill="background1"/>
          </w:tcPr>
          <w:p w14:paraId="02CD8F75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23053C52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AE7CDD7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9D0767D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5D5E7AE4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52A3373B" w14:textId="770E833C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050DA6DB" w14:textId="25D65889" w:rsidTr="00B33BA3">
        <w:trPr>
          <w:trHeight w:val="831"/>
          <w:jc w:val="center"/>
        </w:trPr>
        <w:tc>
          <w:tcPr>
            <w:tcW w:w="11597" w:type="dxa"/>
            <w:gridSpan w:val="4"/>
            <w:vAlign w:val="center"/>
          </w:tcPr>
          <w:p w14:paraId="01B7D908" w14:textId="66471293" w:rsidR="000B4679" w:rsidRPr="00A164DA" w:rsidRDefault="000B4679" w:rsidP="00FE50B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S5. We actively listen to and involve parents/carers in contributing to decisions about their child’s education and future aspirations.</w:t>
            </w:r>
          </w:p>
        </w:tc>
        <w:tc>
          <w:tcPr>
            <w:tcW w:w="713" w:type="dxa"/>
            <w:shd w:val="clear" w:color="auto" w:fill="FFFFFF" w:themeFill="background1"/>
          </w:tcPr>
          <w:p w14:paraId="201044F7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2B3283DC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BF95761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99F084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27ACCE59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2B0F3F4F" w14:textId="1CC0808C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66EEA302" w14:textId="516DE47A" w:rsidTr="00B33BA3">
        <w:trPr>
          <w:trHeight w:val="831"/>
          <w:jc w:val="center"/>
        </w:trPr>
        <w:tc>
          <w:tcPr>
            <w:tcW w:w="11597" w:type="dxa"/>
            <w:gridSpan w:val="4"/>
            <w:vAlign w:val="center"/>
          </w:tcPr>
          <w:p w14:paraId="57475758" w14:textId="56E4020B" w:rsidR="000B4679" w:rsidRPr="00A164DA" w:rsidRDefault="000B4679" w:rsidP="00FE50B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S6. We work collaboratively with health, social care, and other professionals to improve educational experiences and outcomes for autistic children.</w:t>
            </w:r>
          </w:p>
        </w:tc>
        <w:tc>
          <w:tcPr>
            <w:tcW w:w="713" w:type="dxa"/>
            <w:shd w:val="clear" w:color="auto" w:fill="FFFFFF" w:themeFill="background1"/>
          </w:tcPr>
          <w:p w14:paraId="3C4BEC9A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47C09448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2055ACF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2798A11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6BB2AA54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7FE3078A" w14:textId="07C8C576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5509B639" w14:textId="72E5812E" w:rsidTr="00B33BA3">
        <w:trPr>
          <w:trHeight w:val="618"/>
          <w:jc w:val="center"/>
        </w:trPr>
        <w:tc>
          <w:tcPr>
            <w:tcW w:w="11597" w:type="dxa"/>
            <w:gridSpan w:val="4"/>
            <w:vAlign w:val="center"/>
          </w:tcPr>
          <w:p w14:paraId="5EF0C02F" w14:textId="3C3E84F9" w:rsidR="000B4679" w:rsidRPr="00A164DA" w:rsidRDefault="000B4679" w:rsidP="00FE50B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Four: Workforce development related to good autism practice.</w:t>
            </w:r>
          </w:p>
        </w:tc>
        <w:tc>
          <w:tcPr>
            <w:tcW w:w="713" w:type="dxa"/>
            <w:shd w:val="clear" w:color="auto" w:fill="FFFFFF" w:themeFill="background1"/>
          </w:tcPr>
          <w:p w14:paraId="2175B80D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3C229A72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8BEB72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D43AB3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38DCA70A" w14:textId="77777777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999C68E" w14:textId="6764CF68" w:rsidR="000B4679" w:rsidRPr="00A164DA" w:rsidRDefault="000B4679" w:rsidP="008501C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6C6E7EBF" w14:textId="0C4CABA3" w:rsidTr="00B33BA3">
        <w:trPr>
          <w:trHeight w:val="883"/>
          <w:jc w:val="center"/>
        </w:trPr>
        <w:tc>
          <w:tcPr>
            <w:tcW w:w="11597" w:type="dxa"/>
            <w:gridSpan w:val="4"/>
            <w:vAlign w:val="center"/>
          </w:tcPr>
          <w:p w14:paraId="57E0F6F2" w14:textId="4216E254" w:rsidR="000B4679" w:rsidRPr="00A164DA" w:rsidRDefault="000B4679" w:rsidP="00FE50B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S7. We show a commitment to continuing professional development on autism across our staff and ensure they receive ongoing training that is appropriate to their role.</w:t>
            </w:r>
          </w:p>
        </w:tc>
        <w:tc>
          <w:tcPr>
            <w:tcW w:w="713" w:type="dxa"/>
            <w:shd w:val="clear" w:color="auto" w:fill="FFFFFF" w:themeFill="background1"/>
          </w:tcPr>
          <w:p w14:paraId="482E69BC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379B3B06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93413F8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DEEF32D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12F3D646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74613DD1" w14:textId="793382D0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01ECD6C8" w14:textId="0E47CCDD" w:rsidTr="00B33BA3">
        <w:trPr>
          <w:trHeight w:val="883"/>
          <w:jc w:val="center"/>
        </w:trPr>
        <w:tc>
          <w:tcPr>
            <w:tcW w:w="11597" w:type="dxa"/>
            <w:gridSpan w:val="4"/>
            <w:vAlign w:val="center"/>
          </w:tcPr>
          <w:p w14:paraId="4D383F9A" w14:textId="5039B16A" w:rsidR="000B4679" w:rsidRPr="00A164DA" w:rsidRDefault="000B4679" w:rsidP="00FE50B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S8. We audit staff confidence levels, understanding and knowledge of autism, and the changes staff make to their practice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as a result of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undertaking professional development.</w:t>
            </w:r>
          </w:p>
        </w:tc>
        <w:tc>
          <w:tcPr>
            <w:tcW w:w="713" w:type="dxa"/>
            <w:shd w:val="clear" w:color="auto" w:fill="FFFFFF" w:themeFill="background1"/>
          </w:tcPr>
          <w:p w14:paraId="5516CC06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669DD353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C10C7D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C09027C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40B1182D" w14:textId="77777777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738AE6DD" w14:textId="43C0C372" w:rsidR="000B4679" w:rsidRPr="00A164DA" w:rsidRDefault="000B4679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7B1438" w14:paraId="6900D6EC" w14:textId="77777777" w:rsidTr="00B33BA3">
        <w:trPr>
          <w:jc w:val="center"/>
        </w:trPr>
        <w:tc>
          <w:tcPr>
            <w:tcW w:w="1553" w:type="dxa"/>
            <w:vMerge w:val="restart"/>
            <w:shd w:val="clear" w:color="auto" w:fill="7030A0"/>
            <w:textDirection w:val="btLr"/>
            <w:vAlign w:val="center"/>
          </w:tcPr>
          <w:p w14:paraId="708289BC" w14:textId="5EAE203F" w:rsidR="007B1438" w:rsidRPr="00654983" w:rsidRDefault="00FE50B8" w:rsidP="00FE50B8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bdr w:val="single" w:sz="4" w:space="0" w:color="7030A0"/>
                <w:shd w:val="clear" w:color="auto" w:fill="7030A0"/>
              </w:rPr>
              <w:t>Positive Relationships</w:t>
            </w:r>
          </w:p>
        </w:tc>
        <w:tc>
          <w:tcPr>
            <w:tcW w:w="2835" w:type="dxa"/>
            <w:shd w:val="clear" w:color="auto" w:fill="7030A0"/>
          </w:tcPr>
          <w:p w14:paraId="5AEAE522" w14:textId="199D906C" w:rsidR="007B1438" w:rsidRPr="00654983" w:rsidRDefault="007B1438" w:rsidP="007B1438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Focus Standard Numbers</w:t>
            </w:r>
          </w:p>
        </w:tc>
        <w:tc>
          <w:tcPr>
            <w:tcW w:w="3825" w:type="dxa"/>
            <w:shd w:val="clear" w:color="auto" w:fill="7030A0"/>
            <w:vAlign w:val="center"/>
          </w:tcPr>
          <w:p w14:paraId="006542AA" w14:textId="4CBA4E6F" w:rsidR="007B1438" w:rsidRPr="00654983" w:rsidRDefault="007B1438" w:rsidP="006549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Current Status:</w:t>
            </w:r>
          </w:p>
        </w:tc>
        <w:tc>
          <w:tcPr>
            <w:tcW w:w="4482" w:type="dxa"/>
            <w:gridSpan w:val="3"/>
            <w:shd w:val="clear" w:color="auto" w:fill="7030A0"/>
            <w:vAlign w:val="center"/>
          </w:tcPr>
          <w:p w14:paraId="47BB2A28" w14:textId="225FD1F1" w:rsidR="007B1438" w:rsidRPr="00654983" w:rsidRDefault="007B1438" w:rsidP="006549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Next Steps</w:t>
            </w:r>
          </w:p>
        </w:tc>
        <w:tc>
          <w:tcPr>
            <w:tcW w:w="3182" w:type="dxa"/>
            <w:gridSpan w:val="5"/>
            <w:shd w:val="clear" w:color="auto" w:fill="7030A0"/>
            <w:vAlign w:val="center"/>
          </w:tcPr>
          <w:p w14:paraId="24338EFA" w14:textId="5105C751" w:rsidR="007B1438" w:rsidRPr="00654983" w:rsidRDefault="007B1438" w:rsidP="006549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Review</w:t>
            </w:r>
          </w:p>
        </w:tc>
      </w:tr>
      <w:tr w:rsidR="007B1438" w14:paraId="40154BF9" w14:textId="77777777" w:rsidTr="00B33BA3">
        <w:trPr>
          <w:trHeight w:val="5639"/>
          <w:jc w:val="center"/>
        </w:trPr>
        <w:tc>
          <w:tcPr>
            <w:tcW w:w="1553" w:type="dxa"/>
            <w:vMerge/>
            <w:shd w:val="clear" w:color="auto" w:fill="7030A0"/>
          </w:tcPr>
          <w:p w14:paraId="1F46621C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35" w:type="dxa"/>
          </w:tcPr>
          <w:p w14:paraId="6A2E8F3B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25" w:type="dxa"/>
          </w:tcPr>
          <w:p w14:paraId="1739BA14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82" w:type="dxa"/>
            <w:gridSpan w:val="3"/>
          </w:tcPr>
          <w:p w14:paraId="1CA45D78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82" w:type="dxa"/>
            <w:gridSpan w:val="5"/>
          </w:tcPr>
          <w:p w14:paraId="68A29404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5EC63FFD" w14:textId="0DF62580" w:rsidTr="00B33BA3">
        <w:trPr>
          <w:jc w:val="center"/>
        </w:trPr>
        <w:tc>
          <w:tcPr>
            <w:tcW w:w="11597" w:type="dxa"/>
            <w:gridSpan w:val="4"/>
            <w:shd w:val="clear" w:color="auto" w:fill="FFC000" w:themeFill="accent4"/>
          </w:tcPr>
          <w:p w14:paraId="3A3CB10B" w14:textId="77777777" w:rsidR="00B33BA3" w:rsidRPr="00654983" w:rsidRDefault="00B33BA3" w:rsidP="00B33BA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Enabling Environments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2F707843" w14:textId="46304819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bottom"/>
          </w:tcPr>
          <w:p w14:paraId="08C27F41" w14:textId="454AC664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28989D15" w14:textId="60A9C5F7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01CEF883" w14:textId="6C1C7430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3" w:type="dxa"/>
            <w:shd w:val="clear" w:color="auto" w:fill="FFFFFF" w:themeFill="background1"/>
            <w:vAlign w:val="bottom"/>
          </w:tcPr>
          <w:p w14:paraId="7C2070CF" w14:textId="1AA23F04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4" w:type="dxa"/>
            <w:shd w:val="clear" w:color="auto" w:fill="FFFFFF" w:themeFill="background1"/>
            <w:vAlign w:val="bottom"/>
          </w:tcPr>
          <w:p w14:paraId="37094DBB" w14:textId="5D582D61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</w:tr>
      <w:tr w:rsidR="00B9544D" w14:paraId="713ED5A1" w14:textId="675F3C5D" w:rsidTr="00B33BA3">
        <w:trPr>
          <w:trHeight w:val="832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649CDFB3" w14:textId="21AD7048" w:rsidR="007B1438" w:rsidRPr="00A164DA" w:rsidRDefault="007B1438" w:rsidP="00B9544D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Five: Leadership and management that promotes and embeds good autism practice.</w:t>
            </w:r>
          </w:p>
        </w:tc>
        <w:tc>
          <w:tcPr>
            <w:tcW w:w="713" w:type="dxa"/>
            <w:shd w:val="clear" w:color="auto" w:fill="FFFFFF" w:themeFill="background1"/>
          </w:tcPr>
          <w:p w14:paraId="1FC15C08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57F46EA1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744FA84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C4B869A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487783F5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4B9B9ED7" w14:textId="12F36DA0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B9544D" w14:paraId="5FBCD118" w14:textId="45A6B0AA" w:rsidTr="00B33BA3">
        <w:trPr>
          <w:trHeight w:val="1045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17137003" w14:textId="4A488BE9" w:rsidR="007B1438" w:rsidRPr="00A164DA" w:rsidRDefault="007B1438" w:rsidP="00B9544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S9. We promote a supportive environment where leaders and managers are knowledgeable about autism and cascade information to their staff. We encourage our staff to reflect upon, discuss, and evaluate their practice.</w:t>
            </w:r>
          </w:p>
        </w:tc>
        <w:tc>
          <w:tcPr>
            <w:tcW w:w="713" w:type="dxa"/>
            <w:shd w:val="clear" w:color="auto" w:fill="FFFFFF" w:themeFill="background1"/>
          </w:tcPr>
          <w:p w14:paraId="4E64CB9B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0BE3D673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EA6A4C9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A0C96E7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7005D443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26D450B6" w14:textId="790BA278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9544D" w14:paraId="7C4A1201" w14:textId="1167E913" w:rsidTr="00B33BA3">
        <w:trPr>
          <w:trHeight w:val="1045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6074CF85" w14:textId="3AE396FE" w:rsidR="007B1438" w:rsidRPr="00A164DA" w:rsidRDefault="007B1438" w:rsidP="00B9544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S10. We develop mutual understanding, communication, and support between autistic children and staff, between autistic children and their peers, and between parents/carers and staff.</w:t>
            </w:r>
          </w:p>
        </w:tc>
        <w:tc>
          <w:tcPr>
            <w:tcW w:w="713" w:type="dxa"/>
            <w:shd w:val="clear" w:color="auto" w:fill="FFFFFF" w:themeFill="background1"/>
          </w:tcPr>
          <w:p w14:paraId="0B91E680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77447538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851D271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602FE83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0BEAA9AE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5A65472E" w14:textId="393D9BE1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9544D" w14:paraId="1DD3CC72" w14:textId="276D2580" w:rsidTr="00B33BA3">
        <w:trPr>
          <w:trHeight w:val="776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0ED1B32F" w14:textId="72E756B8" w:rsidR="007B1438" w:rsidRPr="00A164DA" w:rsidRDefault="007B1438" w:rsidP="00B9544D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Six: An ethos and environment that fosters social inclusion for autistic children.</w:t>
            </w:r>
          </w:p>
        </w:tc>
        <w:tc>
          <w:tcPr>
            <w:tcW w:w="713" w:type="dxa"/>
            <w:shd w:val="clear" w:color="auto" w:fill="FFFFFF" w:themeFill="background1"/>
          </w:tcPr>
          <w:p w14:paraId="1C228AD5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7434D023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21C8DA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2309AC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2B36C0FC" w14:textId="77777777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21447645" w14:textId="57315F51" w:rsidR="007B1438" w:rsidRPr="00A164DA" w:rsidRDefault="007B1438" w:rsidP="007B143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B9544D" w14:paraId="360E15CE" w14:textId="0ACBB9FD" w:rsidTr="00B33BA3">
        <w:trPr>
          <w:trHeight w:val="874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6A7217F6" w14:textId="612CCCDB" w:rsidR="007B1438" w:rsidRPr="00A164DA" w:rsidRDefault="007B1438" w:rsidP="00B9544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S11. Our enabling approaches foster a calm, low-arousal learning environment and we promote a sense of wellbeing, security, and belonging for our autistic children.</w:t>
            </w:r>
          </w:p>
        </w:tc>
        <w:tc>
          <w:tcPr>
            <w:tcW w:w="713" w:type="dxa"/>
            <w:shd w:val="clear" w:color="auto" w:fill="FFFFFF" w:themeFill="background1"/>
          </w:tcPr>
          <w:p w14:paraId="658DE929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1036BFC3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67449A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BF9A97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6C9A7A1B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44AAE199" w14:textId="79C7156D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9544D" w14:paraId="0EAE4567" w14:textId="4AFD48B2" w:rsidTr="00B33BA3">
        <w:trPr>
          <w:trHeight w:val="874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3BA39C41" w14:textId="70F96E2E" w:rsidR="007B1438" w:rsidRPr="00A164DA" w:rsidRDefault="007B1438" w:rsidP="00B9544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S12. Our learning environments are structured, understandable, and predictable. We adapt learning environments to enable children to participate fully in learning and play.</w:t>
            </w:r>
          </w:p>
        </w:tc>
        <w:tc>
          <w:tcPr>
            <w:tcW w:w="713" w:type="dxa"/>
            <w:shd w:val="clear" w:color="auto" w:fill="FFFFFF" w:themeFill="background1"/>
          </w:tcPr>
          <w:p w14:paraId="754719E6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43B98424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0F2F05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8BB9C5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3F628412" w14:textId="77777777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71DAAE6D" w14:textId="4E2179B6" w:rsidR="007B1438" w:rsidRPr="00A164DA" w:rsidRDefault="007B1438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9544D" w14:paraId="39DA1525" w14:textId="77777777" w:rsidTr="00B33BA3">
        <w:trPr>
          <w:trHeight w:val="272"/>
          <w:jc w:val="center"/>
        </w:trPr>
        <w:tc>
          <w:tcPr>
            <w:tcW w:w="1553" w:type="dxa"/>
            <w:vMerge w:val="restart"/>
            <w:shd w:val="clear" w:color="auto" w:fill="FFC000" w:themeFill="accent4"/>
            <w:textDirection w:val="btLr"/>
            <w:vAlign w:val="center"/>
          </w:tcPr>
          <w:p w14:paraId="64F15CC1" w14:textId="3CE834F4" w:rsidR="00B9544D" w:rsidRPr="00654983" w:rsidRDefault="007E257A" w:rsidP="007E257A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40"/>
                <w:szCs w:val="40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shd w:val="clear" w:color="auto" w:fill="FFC000" w:themeFill="accent4"/>
              </w:rPr>
              <w:t>Enabling Environments</w:t>
            </w:r>
          </w:p>
        </w:tc>
        <w:tc>
          <w:tcPr>
            <w:tcW w:w="2835" w:type="dxa"/>
            <w:shd w:val="clear" w:color="auto" w:fill="FFC000" w:themeFill="accent4"/>
            <w:vAlign w:val="center"/>
          </w:tcPr>
          <w:p w14:paraId="1A803673" w14:textId="498E210F" w:rsidR="00B9544D" w:rsidRPr="00654983" w:rsidRDefault="00B9544D" w:rsidP="0065498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Focus Standard Numbers</w:t>
            </w:r>
          </w:p>
        </w:tc>
        <w:tc>
          <w:tcPr>
            <w:tcW w:w="3825" w:type="dxa"/>
            <w:shd w:val="clear" w:color="auto" w:fill="FFC000" w:themeFill="accent4"/>
            <w:vAlign w:val="center"/>
          </w:tcPr>
          <w:p w14:paraId="43B5A78E" w14:textId="6C9710BE" w:rsidR="00B9544D" w:rsidRPr="00654983" w:rsidRDefault="00B9544D" w:rsidP="0065498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Current Status:</w:t>
            </w:r>
          </w:p>
        </w:tc>
        <w:tc>
          <w:tcPr>
            <w:tcW w:w="4482" w:type="dxa"/>
            <w:gridSpan w:val="3"/>
            <w:shd w:val="clear" w:color="auto" w:fill="FFC000" w:themeFill="accent4"/>
            <w:vAlign w:val="center"/>
          </w:tcPr>
          <w:p w14:paraId="2AE9BAE5" w14:textId="7A6A301F" w:rsidR="00B9544D" w:rsidRPr="00654983" w:rsidRDefault="00B9544D" w:rsidP="0065498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Next Steps</w:t>
            </w:r>
          </w:p>
        </w:tc>
        <w:tc>
          <w:tcPr>
            <w:tcW w:w="3182" w:type="dxa"/>
            <w:gridSpan w:val="5"/>
            <w:shd w:val="clear" w:color="auto" w:fill="FFC000" w:themeFill="accent4"/>
            <w:vAlign w:val="center"/>
          </w:tcPr>
          <w:p w14:paraId="47203690" w14:textId="56C51311" w:rsidR="00B9544D" w:rsidRPr="00654983" w:rsidRDefault="00B9544D" w:rsidP="0065498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Review</w:t>
            </w:r>
          </w:p>
        </w:tc>
      </w:tr>
      <w:tr w:rsidR="00B9544D" w14:paraId="7B74418B" w14:textId="77777777" w:rsidTr="00B33BA3">
        <w:trPr>
          <w:trHeight w:val="4798"/>
          <w:jc w:val="center"/>
        </w:trPr>
        <w:tc>
          <w:tcPr>
            <w:tcW w:w="1553" w:type="dxa"/>
            <w:vMerge/>
            <w:shd w:val="clear" w:color="auto" w:fill="FFC000" w:themeFill="accent4"/>
          </w:tcPr>
          <w:p w14:paraId="16BEA313" w14:textId="77777777" w:rsidR="00B9544D" w:rsidRPr="00A164DA" w:rsidRDefault="00B9544D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A82DAAF" w14:textId="77777777" w:rsidR="00B9544D" w:rsidRPr="00A164DA" w:rsidRDefault="00B9544D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25" w:type="dxa"/>
            <w:shd w:val="clear" w:color="auto" w:fill="FFFFFF" w:themeFill="background1"/>
          </w:tcPr>
          <w:p w14:paraId="790C29B0" w14:textId="77777777" w:rsidR="00B9544D" w:rsidRPr="00A164DA" w:rsidRDefault="00B9544D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82" w:type="dxa"/>
            <w:gridSpan w:val="3"/>
            <w:shd w:val="clear" w:color="auto" w:fill="FFFFFF" w:themeFill="background1"/>
          </w:tcPr>
          <w:p w14:paraId="62A83507" w14:textId="77777777" w:rsidR="00B9544D" w:rsidRPr="00A164DA" w:rsidRDefault="00B9544D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82" w:type="dxa"/>
            <w:gridSpan w:val="5"/>
            <w:shd w:val="clear" w:color="auto" w:fill="FFFFFF" w:themeFill="background1"/>
          </w:tcPr>
          <w:p w14:paraId="75CAADA3" w14:textId="0A87CC8B" w:rsidR="00B9544D" w:rsidRPr="00A164DA" w:rsidRDefault="00B9544D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1D381D90" w14:textId="44D0FBDD" w:rsidTr="00B33BA3">
        <w:trPr>
          <w:jc w:val="center"/>
        </w:trPr>
        <w:tc>
          <w:tcPr>
            <w:tcW w:w="11597" w:type="dxa"/>
            <w:gridSpan w:val="4"/>
            <w:shd w:val="clear" w:color="auto" w:fill="C00000"/>
          </w:tcPr>
          <w:p w14:paraId="5E59E58D" w14:textId="77777777" w:rsidR="00B33BA3" w:rsidRPr="00654983" w:rsidRDefault="00B33BA3" w:rsidP="00B33BA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Learning and Development</w:t>
            </w:r>
          </w:p>
        </w:tc>
        <w:tc>
          <w:tcPr>
            <w:tcW w:w="713" w:type="dxa"/>
            <w:shd w:val="clear" w:color="auto" w:fill="FFFFFF" w:themeFill="background1"/>
          </w:tcPr>
          <w:p w14:paraId="4FF882BC" w14:textId="3F6970E6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0BBC47B5" w14:textId="4B1D0BE2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3" w:type="dxa"/>
            <w:shd w:val="clear" w:color="auto" w:fill="FFFFFF" w:themeFill="background1"/>
          </w:tcPr>
          <w:p w14:paraId="5117A353" w14:textId="345DBF42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  <w:tc>
          <w:tcPr>
            <w:tcW w:w="713" w:type="dxa"/>
            <w:shd w:val="clear" w:color="auto" w:fill="FFFFFF" w:themeFill="background1"/>
          </w:tcPr>
          <w:p w14:paraId="12E18650" w14:textId="0B7F1EDF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3" w:type="dxa"/>
            <w:shd w:val="clear" w:color="auto" w:fill="FFFFFF" w:themeFill="background1"/>
          </w:tcPr>
          <w:p w14:paraId="70EA78C3" w14:textId="26D006F6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4" w:type="dxa"/>
            <w:shd w:val="clear" w:color="auto" w:fill="FFFFFF" w:themeFill="background1"/>
          </w:tcPr>
          <w:p w14:paraId="205B1F7C" w14:textId="15A7DCD1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</w:tr>
      <w:tr w:rsidR="00B33BA3" w14:paraId="6F8A88FE" w14:textId="1D7E0A8C" w:rsidTr="00B33BA3">
        <w:trPr>
          <w:trHeight w:val="652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58FFFC9A" w14:textId="55FE79C8" w:rsidR="00B33BA3" w:rsidRPr="00A164DA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Seven: Targeted support and measuring the progress of autistic children.</w:t>
            </w:r>
          </w:p>
        </w:tc>
        <w:tc>
          <w:tcPr>
            <w:tcW w:w="713" w:type="dxa"/>
            <w:shd w:val="clear" w:color="auto" w:fill="FFFFFF" w:themeFill="background1"/>
          </w:tcPr>
          <w:p w14:paraId="228139B7" w14:textId="77777777" w:rsidR="00B33BA3" w:rsidRPr="00A164DA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528FEB0F" w14:textId="77777777" w:rsidR="00B33BA3" w:rsidRPr="00A164DA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6398686" w14:textId="77777777" w:rsidR="00B33BA3" w:rsidRPr="00A164DA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7EAA7FC" w14:textId="77777777" w:rsidR="00B33BA3" w:rsidRPr="00A164DA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203B3834" w14:textId="77777777" w:rsidR="00B33BA3" w:rsidRPr="00A164DA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07675030" w14:textId="27527C8F" w:rsidR="00B33BA3" w:rsidRPr="00A164DA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71792953" w14:textId="6A3E5CDF" w:rsidTr="00B33BA3">
        <w:trPr>
          <w:trHeight w:val="847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5DD93954" w14:textId="07AA181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S13. We use a holistic approach to assessment that includes a child’s sensory needs, emotional wellbeing, and preferred way of communicating, interacting, playing, and learning.</w:t>
            </w:r>
          </w:p>
        </w:tc>
        <w:tc>
          <w:tcPr>
            <w:tcW w:w="713" w:type="dxa"/>
            <w:shd w:val="clear" w:color="auto" w:fill="FFFFFF" w:themeFill="background1"/>
          </w:tcPr>
          <w:p w14:paraId="7D78600F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0E0A1670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0B8B3F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9E9D172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5A14C8EC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757DD02B" w14:textId="0A947C7C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19DB62E6" w14:textId="3214F4B1" w:rsidTr="00B33BA3">
        <w:trPr>
          <w:trHeight w:val="847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24638B15" w14:textId="1D6E00BC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S14. We develop and implement targeted child-centred support plans in partnership with the child and parents. These are regularly reviewed to monitor progress.</w:t>
            </w:r>
          </w:p>
        </w:tc>
        <w:tc>
          <w:tcPr>
            <w:tcW w:w="713" w:type="dxa"/>
            <w:shd w:val="clear" w:color="auto" w:fill="FFFFFF" w:themeFill="background1"/>
          </w:tcPr>
          <w:p w14:paraId="576B9823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55B86AED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EAFBBD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83BE1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17AE05C0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8FBEEC8" w14:textId="48469915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1518C237" w14:textId="340C2684" w:rsidTr="00B33BA3">
        <w:trPr>
          <w:trHeight w:val="970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0F35916D" w14:textId="10610423" w:rsidR="00B33BA3" w:rsidRPr="001B78BB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1B78BB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Eight: Adapting the curriculum, teaching, and learning to promote wellbeing and success for autistic children.</w:t>
            </w:r>
          </w:p>
        </w:tc>
        <w:tc>
          <w:tcPr>
            <w:tcW w:w="713" w:type="dxa"/>
            <w:shd w:val="clear" w:color="auto" w:fill="FFFFFF" w:themeFill="background1"/>
          </w:tcPr>
          <w:p w14:paraId="7ABF11F3" w14:textId="77777777" w:rsidR="00B33BA3" w:rsidRPr="001B78BB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0F20A0A0" w14:textId="77777777" w:rsidR="00B33BA3" w:rsidRPr="001B78BB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BECBA6" w14:textId="77777777" w:rsidR="00B33BA3" w:rsidRPr="001B78BB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F97A1FB" w14:textId="77777777" w:rsidR="00B33BA3" w:rsidRPr="001B78BB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372DEBA2" w14:textId="77777777" w:rsidR="00B33BA3" w:rsidRPr="001B78BB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512E67ED" w14:textId="63562465" w:rsidR="00B33BA3" w:rsidRPr="001B78BB" w:rsidRDefault="00B33BA3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0C8A6196" w14:textId="01701D47" w:rsidTr="00B33BA3">
        <w:trPr>
          <w:trHeight w:val="983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7B4476B1" w14:textId="56D94B92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S15. We provide a broad, flexible, and balanced EYFS curriculum that addresses the learning needs of autistic children and their social and emotional well-being, communication needs, and life skills.</w:t>
            </w:r>
          </w:p>
        </w:tc>
        <w:tc>
          <w:tcPr>
            <w:tcW w:w="713" w:type="dxa"/>
            <w:shd w:val="clear" w:color="auto" w:fill="FFFFFF" w:themeFill="background1"/>
          </w:tcPr>
          <w:p w14:paraId="389FDEB3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682F4860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F8726C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E4A9A7C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3F156DA0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451FEAAF" w14:textId="102D659C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67E335D5" w14:textId="182C5672" w:rsidTr="00B33BA3">
        <w:trPr>
          <w:trHeight w:val="983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6989D5FD" w14:textId="43AAF230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S16. We always promote positive attitudes towards autism and have high expectations for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all of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our children and staff</w:t>
            </w:r>
          </w:p>
        </w:tc>
        <w:tc>
          <w:tcPr>
            <w:tcW w:w="713" w:type="dxa"/>
            <w:shd w:val="clear" w:color="auto" w:fill="FFFFFF" w:themeFill="background1"/>
          </w:tcPr>
          <w:p w14:paraId="5BB9A0E2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</w:tcPr>
          <w:p w14:paraId="7B5DEABF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D03A0C3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F3B50F3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519D5AA2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77FD09CF" w14:textId="01D4CC98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:rsidRPr="002D0FAF" w14:paraId="690F6946" w14:textId="77777777" w:rsidTr="00B33BA3">
        <w:trPr>
          <w:trHeight w:val="272"/>
          <w:jc w:val="center"/>
        </w:trPr>
        <w:tc>
          <w:tcPr>
            <w:tcW w:w="1553" w:type="dxa"/>
            <w:vMerge w:val="restart"/>
            <w:shd w:val="clear" w:color="auto" w:fill="C00000"/>
            <w:textDirection w:val="btLr"/>
            <w:vAlign w:val="center"/>
          </w:tcPr>
          <w:p w14:paraId="00589469" w14:textId="5F115275" w:rsidR="00B33BA3" w:rsidRPr="00CF7D51" w:rsidRDefault="00CE0BCA" w:rsidP="00B33BA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C0000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shd w:val="clear" w:color="auto" w:fill="C00000"/>
              </w:rPr>
              <w:t>Learning and Development</w:t>
            </w:r>
          </w:p>
        </w:tc>
        <w:tc>
          <w:tcPr>
            <w:tcW w:w="2835" w:type="dxa"/>
            <w:shd w:val="clear" w:color="auto" w:fill="C00000"/>
            <w:vAlign w:val="center"/>
          </w:tcPr>
          <w:p w14:paraId="61421D71" w14:textId="2CC573F9" w:rsidR="00B33BA3" w:rsidRPr="00CF7D51" w:rsidRDefault="00B33BA3" w:rsidP="00B33BA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Focus Standard Numbers</w:t>
            </w:r>
          </w:p>
        </w:tc>
        <w:tc>
          <w:tcPr>
            <w:tcW w:w="3825" w:type="dxa"/>
            <w:shd w:val="clear" w:color="auto" w:fill="C00000"/>
            <w:vAlign w:val="center"/>
          </w:tcPr>
          <w:p w14:paraId="407052B7" w14:textId="432673CD" w:rsidR="00B33BA3" w:rsidRPr="00CF7D51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Current Status:</w:t>
            </w:r>
          </w:p>
        </w:tc>
        <w:tc>
          <w:tcPr>
            <w:tcW w:w="4482" w:type="dxa"/>
            <w:gridSpan w:val="3"/>
            <w:shd w:val="clear" w:color="auto" w:fill="C00000"/>
            <w:vAlign w:val="center"/>
          </w:tcPr>
          <w:p w14:paraId="30221677" w14:textId="35355C16" w:rsidR="00B33BA3" w:rsidRPr="00CF7D51" w:rsidRDefault="00B33BA3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Next Steps</w:t>
            </w:r>
          </w:p>
        </w:tc>
        <w:tc>
          <w:tcPr>
            <w:tcW w:w="3182" w:type="dxa"/>
            <w:gridSpan w:val="5"/>
            <w:shd w:val="clear" w:color="auto" w:fill="C00000"/>
            <w:vAlign w:val="center"/>
          </w:tcPr>
          <w:p w14:paraId="2BEAC835" w14:textId="5B1A7EF3" w:rsidR="00B33BA3" w:rsidRPr="00654983" w:rsidRDefault="00B33BA3" w:rsidP="00B33BA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Review</w:t>
            </w:r>
          </w:p>
        </w:tc>
      </w:tr>
      <w:tr w:rsidR="00B33BA3" w14:paraId="3C65DB30" w14:textId="77777777" w:rsidTr="00B33BA3">
        <w:trPr>
          <w:trHeight w:val="4801"/>
          <w:jc w:val="center"/>
        </w:trPr>
        <w:tc>
          <w:tcPr>
            <w:tcW w:w="1553" w:type="dxa"/>
            <w:vMerge/>
            <w:shd w:val="clear" w:color="auto" w:fill="FFFFFF" w:themeFill="background1"/>
          </w:tcPr>
          <w:p w14:paraId="4A915B23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5622EF9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25" w:type="dxa"/>
            <w:shd w:val="clear" w:color="auto" w:fill="FFFFFF" w:themeFill="background1"/>
          </w:tcPr>
          <w:p w14:paraId="62B0D774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82" w:type="dxa"/>
            <w:gridSpan w:val="3"/>
            <w:shd w:val="clear" w:color="auto" w:fill="FFFFFF" w:themeFill="background1"/>
          </w:tcPr>
          <w:p w14:paraId="3546648B" w14:textId="77777777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82" w:type="dxa"/>
            <w:gridSpan w:val="5"/>
            <w:shd w:val="clear" w:color="auto" w:fill="FFFFFF" w:themeFill="background1"/>
          </w:tcPr>
          <w:p w14:paraId="6F2D6AC4" w14:textId="374E1BE8" w:rsidR="00B33BA3" w:rsidRPr="00A164DA" w:rsidRDefault="00B33BA3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</w:tbl>
    <w:p w14:paraId="5E5787A5" w14:textId="2BE7FFA8" w:rsidR="008C4B2D" w:rsidRPr="008D3CA6" w:rsidRDefault="008C4B2D">
      <w:pPr>
        <w:rPr>
          <w:sz w:val="2"/>
          <w:szCs w:val="2"/>
        </w:rPr>
      </w:pPr>
    </w:p>
    <w:sectPr w:rsidR="008C4B2D" w:rsidRPr="008D3CA6" w:rsidSect="00862AC6">
      <w:pgSz w:w="16838" w:h="11906" w:orient="landscape"/>
      <w:pgMar w:top="510" w:right="720" w:bottom="284" w:left="680" w:header="720" w:footer="720" w:gutter="0"/>
      <w:pgBorders w:display="firstPage" w:offsetFrom="page">
        <w:top w:val="single" w:sz="24" w:space="24" w:color="44546A" w:themeColor="text2"/>
        <w:left w:val="single" w:sz="24" w:space="24" w:color="44546A" w:themeColor="text2"/>
        <w:bottom w:val="single" w:sz="24" w:space="24" w:color="44546A" w:themeColor="text2"/>
        <w:right w:val="single" w:sz="24" w:space="24" w:color="44546A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8D6AD"/>
    <w:rsid w:val="0002281C"/>
    <w:rsid w:val="00025D54"/>
    <w:rsid w:val="00026DC0"/>
    <w:rsid w:val="00041C41"/>
    <w:rsid w:val="000842B3"/>
    <w:rsid w:val="00092494"/>
    <w:rsid w:val="000A0E23"/>
    <w:rsid w:val="000B16E1"/>
    <w:rsid w:val="000B4679"/>
    <w:rsid w:val="000C5E4C"/>
    <w:rsid w:val="00106E8E"/>
    <w:rsid w:val="00112DD9"/>
    <w:rsid w:val="00173AA2"/>
    <w:rsid w:val="001B0A0E"/>
    <w:rsid w:val="001B78BB"/>
    <w:rsid w:val="001D4E00"/>
    <w:rsid w:val="001F153B"/>
    <w:rsid w:val="00202220"/>
    <w:rsid w:val="00216C57"/>
    <w:rsid w:val="002236BE"/>
    <w:rsid w:val="00245CAE"/>
    <w:rsid w:val="00255A32"/>
    <w:rsid w:val="0025643A"/>
    <w:rsid w:val="00270D9D"/>
    <w:rsid w:val="0027610C"/>
    <w:rsid w:val="0029578E"/>
    <w:rsid w:val="002D0FAF"/>
    <w:rsid w:val="002E3A2D"/>
    <w:rsid w:val="00303A00"/>
    <w:rsid w:val="003103D9"/>
    <w:rsid w:val="00325B81"/>
    <w:rsid w:val="00326658"/>
    <w:rsid w:val="003267D2"/>
    <w:rsid w:val="0035347B"/>
    <w:rsid w:val="00355B44"/>
    <w:rsid w:val="003658BE"/>
    <w:rsid w:val="00373550"/>
    <w:rsid w:val="00392A53"/>
    <w:rsid w:val="003B74A5"/>
    <w:rsid w:val="003C1CC1"/>
    <w:rsid w:val="003C78F5"/>
    <w:rsid w:val="003E28E0"/>
    <w:rsid w:val="003F1C3B"/>
    <w:rsid w:val="003F4532"/>
    <w:rsid w:val="00433958"/>
    <w:rsid w:val="0043444D"/>
    <w:rsid w:val="00445332"/>
    <w:rsid w:val="00451707"/>
    <w:rsid w:val="00472575"/>
    <w:rsid w:val="00487F83"/>
    <w:rsid w:val="004F509B"/>
    <w:rsid w:val="00527305"/>
    <w:rsid w:val="00532C4F"/>
    <w:rsid w:val="00537759"/>
    <w:rsid w:val="00546914"/>
    <w:rsid w:val="0055382F"/>
    <w:rsid w:val="00561BFA"/>
    <w:rsid w:val="00562372"/>
    <w:rsid w:val="00563EEF"/>
    <w:rsid w:val="00566D0B"/>
    <w:rsid w:val="0057051B"/>
    <w:rsid w:val="005A46CA"/>
    <w:rsid w:val="005B194E"/>
    <w:rsid w:val="005C2D55"/>
    <w:rsid w:val="005D6A45"/>
    <w:rsid w:val="00633679"/>
    <w:rsid w:val="00646E22"/>
    <w:rsid w:val="00654983"/>
    <w:rsid w:val="00671844"/>
    <w:rsid w:val="00697DB7"/>
    <w:rsid w:val="006A3039"/>
    <w:rsid w:val="006A7A52"/>
    <w:rsid w:val="006C04FB"/>
    <w:rsid w:val="006C63FD"/>
    <w:rsid w:val="006D0A97"/>
    <w:rsid w:val="006D257C"/>
    <w:rsid w:val="006E1B60"/>
    <w:rsid w:val="006E1D71"/>
    <w:rsid w:val="006E7F95"/>
    <w:rsid w:val="006F4844"/>
    <w:rsid w:val="00706892"/>
    <w:rsid w:val="007351F7"/>
    <w:rsid w:val="00737522"/>
    <w:rsid w:val="0074554D"/>
    <w:rsid w:val="00747C5A"/>
    <w:rsid w:val="00786225"/>
    <w:rsid w:val="007B1438"/>
    <w:rsid w:val="007B2571"/>
    <w:rsid w:val="007C6910"/>
    <w:rsid w:val="007C7EB6"/>
    <w:rsid w:val="007D48F9"/>
    <w:rsid w:val="007E0DF6"/>
    <w:rsid w:val="007E1EEA"/>
    <w:rsid w:val="007E257A"/>
    <w:rsid w:val="0082756C"/>
    <w:rsid w:val="00837688"/>
    <w:rsid w:val="008501CA"/>
    <w:rsid w:val="00850983"/>
    <w:rsid w:val="00852E63"/>
    <w:rsid w:val="00862AC6"/>
    <w:rsid w:val="00865E47"/>
    <w:rsid w:val="00870C07"/>
    <w:rsid w:val="00893A9A"/>
    <w:rsid w:val="008A459A"/>
    <w:rsid w:val="008C4B2D"/>
    <w:rsid w:val="008C7A95"/>
    <w:rsid w:val="008D3CA6"/>
    <w:rsid w:val="008F7F9B"/>
    <w:rsid w:val="0092757C"/>
    <w:rsid w:val="00947B97"/>
    <w:rsid w:val="00971444"/>
    <w:rsid w:val="00982E79"/>
    <w:rsid w:val="00991F4B"/>
    <w:rsid w:val="0099633A"/>
    <w:rsid w:val="009D3EED"/>
    <w:rsid w:val="009D5980"/>
    <w:rsid w:val="009D5CC8"/>
    <w:rsid w:val="00A00A13"/>
    <w:rsid w:val="00A056A4"/>
    <w:rsid w:val="00A11EAD"/>
    <w:rsid w:val="00A11EDA"/>
    <w:rsid w:val="00A164DA"/>
    <w:rsid w:val="00A2563F"/>
    <w:rsid w:val="00A30D22"/>
    <w:rsid w:val="00A36C4C"/>
    <w:rsid w:val="00A468E5"/>
    <w:rsid w:val="00A5268A"/>
    <w:rsid w:val="00A52E01"/>
    <w:rsid w:val="00A70A26"/>
    <w:rsid w:val="00A7113C"/>
    <w:rsid w:val="00A74DC9"/>
    <w:rsid w:val="00A93A02"/>
    <w:rsid w:val="00AD7190"/>
    <w:rsid w:val="00B134E4"/>
    <w:rsid w:val="00B31D5D"/>
    <w:rsid w:val="00B33BA3"/>
    <w:rsid w:val="00B62375"/>
    <w:rsid w:val="00B81EAE"/>
    <w:rsid w:val="00B9544D"/>
    <w:rsid w:val="00BA7E61"/>
    <w:rsid w:val="00BB11C3"/>
    <w:rsid w:val="00BE4C11"/>
    <w:rsid w:val="00C0660F"/>
    <w:rsid w:val="00C6408D"/>
    <w:rsid w:val="00C872EB"/>
    <w:rsid w:val="00CB3955"/>
    <w:rsid w:val="00CB5356"/>
    <w:rsid w:val="00CE0BCA"/>
    <w:rsid w:val="00CF7D51"/>
    <w:rsid w:val="00D0015B"/>
    <w:rsid w:val="00D15F69"/>
    <w:rsid w:val="00D208F7"/>
    <w:rsid w:val="00D255BD"/>
    <w:rsid w:val="00D313FA"/>
    <w:rsid w:val="00D34A46"/>
    <w:rsid w:val="00D518B3"/>
    <w:rsid w:val="00D57F14"/>
    <w:rsid w:val="00DF30A9"/>
    <w:rsid w:val="00E024FC"/>
    <w:rsid w:val="00E1173A"/>
    <w:rsid w:val="00E24116"/>
    <w:rsid w:val="00E546AD"/>
    <w:rsid w:val="00E63BC6"/>
    <w:rsid w:val="00E90592"/>
    <w:rsid w:val="00EA2891"/>
    <w:rsid w:val="00EC3648"/>
    <w:rsid w:val="00EF185A"/>
    <w:rsid w:val="00EF5745"/>
    <w:rsid w:val="00F22A4E"/>
    <w:rsid w:val="00F30250"/>
    <w:rsid w:val="00F4409D"/>
    <w:rsid w:val="00F671F2"/>
    <w:rsid w:val="00F73074"/>
    <w:rsid w:val="00F7454B"/>
    <w:rsid w:val="00F852E7"/>
    <w:rsid w:val="00FA161F"/>
    <w:rsid w:val="00FE50B8"/>
    <w:rsid w:val="0A518A19"/>
    <w:rsid w:val="15F185ED"/>
    <w:rsid w:val="4388D6AD"/>
    <w:rsid w:val="48BAB038"/>
    <w:rsid w:val="78C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D6AD"/>
  <w15:chartTrackingRefBased/>
  <w15:docId w15:val="{3D711FD6-C9DD-4E09-B268-5E4F438F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www.autismeducationtrust.org.uk/resources/early-years-standards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3" ma:contentTypeDescription="Create a new document." ma:contentTypeScope="" ma:versionID="543e01f7b406e95a533c78776cd52a21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11c5d0af1ce495066af0eedd0cd42ab0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Order" ma:index="19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ortOrder xmlns="335e6588-dcba-4d4b-ba82-b02eea814da9" xsi:nil="true"/>
    <lcf76f155ced4ddcb4097134ff3c332f xmlns="335e6588-dcba-4d4b-ba82-b02eea814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58D91A-E808-48B4-A605-1B361AC91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D6FEA2-4803-4805-A7DB-5F976E990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20114-440F-4E7E-B784-7FAA486B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B40FE-0155-4115-8C2B-99D03662AE99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3972</Characters>
  <Application>Microsoft Office Word</Application>
  <DocSecurity>0</DocSecurity>
  <Lines>397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 Haddock</dc:creator>
  <cp:keywords/>
  <dc:description/>
  <cp:lastModifiedBy>Lauren Howard</cp:lastModifiedBy>
  <cp:revision>2</cp:revision>
  <dcterms:created xsi:type="dcterms:W3CDTF">2026-03-03T12:19:00Z</dcterms:created>
  <dcterms:modified xsi:type="dcterms:W3CDTF">2026-03-03T12:19:00Z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  <property fmtid="{D5CDD505-2E9C-101B-9397-08002B2CF9AE}" pid="3" name="MediaServiceImageTags">
    <vt:lpwstr/>
  </property>
</Properties>
</file>